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DA" w:rsidRDefault="00801FDA" w:rsidP="00020BF1">
      <w:pPr>
        <w:spacing w:before="840"/>
        <w:jc w:val="center"/>
        <w:rPr>
          <w:b/>
          <w:sz w:val="34"/>
          <w:szCs w:val="34"/>
        </w:rPr>
      </w:pPr>
      <w:r w:rsidRPr="00CF263B">
        <w:rPr>
          <w:b/>
          <w:sz w:val="34"/>
          <w:szCs w:val="34"/>
        </w:rPr>
        <w:t>ОТЧЕТ ЭМИТЕНТА</w:t>
      </w:r>
      <w:r w:rsidR="00CF263B" w:rsidRPr="00CF263B">
        <w:rPr>
          <w:b/>
          <w:sz w:val="34"/>
          <w:szCs w:val="34"/>
        </w:rPr>
        <w:t xml:space="preserve"> </w:t>
      </w:r>
      <w:r w:rsidR="00CF263B">
        <w:rPr>
          <w:b/>
          <w:sz w:val="34"/>
          <w:szCs w:val="34"/>
        </w:rPr>
        <w:br/>
      </w:r>
      <w:r w:rsidR="007C04A9">
        <w:rPr>
          <w:b/>
          <w:sz w:val="34"/>
          <w:szCs w:val="34"/>
        </w:rPr>
        <w:t>ЭМИССИОННЫХ ЦЕН</w:t>
      </w:r>
      <w:r w:rsidRPr="00CF263B">
        <w:rPr>
          <w:b/>
          <w:sz w:val="34"/>
          <w:szCs w:val="34"/>
        </w:rPr>
        <w:t>НЫХ БУМАГ</w:t>
      </w:r>
    </w:p>
    <w:p w:rsidR="00020BF1" w:rsidRPr="00CF263B" w:rsidRDefault="00020BF1" w:rsidP="00020BF1">
      <w:pPr>
        <w:spacing w:before="360"/>
        <w:jc w:val="center"/>
        <w:rPr>
          <w:b/>
          <w:sz w:val="34"/>
          <w:szCs w:val="34"/>
        </w:rPr>
      </w:pPr>
    </w:p>
    <w:p w:rsidR="00020BF1" w:rsidRPr="00020BF1" w:rsidRDefault="00020BF1" w:rsidP="00020BF1">
      <w:pPr>
        <w:jc w:val="center"/>
        <w:rPr>
          <w:b/>
          <w:bCs/>
          <w:i/>
          <w:iCs/>
          <w:sz w:val="40"/>
          <w:szCs w:val="40"/>
        </w:rPr>
      </w:pPr>
      <w:r w:rsidRPr="00020BF1">
        <w:rPr>
          <w:b/>
          <w:bCs/>
          <w:i/>
          <w:iCs/>
          <w:sz w:val="40"/>
          <w:szCs w:val="40"/>
        </w:rPr>
        <w:t>Открытое акционерное общество</w:t>
      </w:r>
    </w:p>
    <w:p w:rsidR="00CF263B" w:rsidRPr="00020BF1" w:rsidRDefault="00020BF1" w:rsidP="00020BF1">
      <w:pPr>
        <w:jc w:val="center"/>
        <w:rPr>
          <w:i/>
          <w:sz w:val="40"/>
          <w:szCs w:val="40"/>
        </w:rPr>
      </w:pPr>
      <w:r w:rsidRPr="00020BF1">
        <w:rPr>
          <w:b/>
          <w:bCs/>
          <w:i/>
          <w:iCs/>
          <w:sz w:val="40"/>
          <w:szCs w:val="40"/>
        </w:rPr>
        <w:t>«Сахалинское морское пароходство»</w:t>
      </w:r>
    </w:p>
    <w:tbl>
      <w:tblPr>
        <w:tblW w:w="6011" w:type="dxa"/>
        <w:tblInd w:w="1871" w:type="dxa"/>
        <w:tblLayout w:type="fixed"/>
        <w:tblCellMar>
          <w:left w:w="28" w:type="dxa"/>
          <w:right w:w="28" w:type="dxa"/>
        </w:tblCellMar>
        <w:tblLook w:val="0000" w:firstRow="0" w:lastRow="0" w:firstColumn="0" w:lastColumn="0" w:noHBand="0" w:noVBand="0"/>
      </w:tblPr>
      <w:tblGrid>
        <w:gridCol w:w="2325"/>
        <w:gridCol w:w="3686"/>
      </w:tblGrid>
      <w:tr w:rsidR="00CF263B" w:rsidRPr="00CF263B" w:rsidTr="00020BF1">
        <w:tc>
          <w:tcPr>
            <w:tcW w:w="2325" w:type="dxa"/>
            <w:tcBorders>
              <w:top w:val="nil"/>
              <w:left w:val="nil"/>
              <w:bottom w:val="nil"/>
              <w:right w:val="nil"/>
            </w:tcBorders>
            <w:vAlign w:val="bottom"/>
          </w:tcPr>
          <w:p w:rsidR="00020BF1" w:rsidRDefault="00020BF1" w:rsidP="00151244">
            <w:pPr>
              <w:rPr>
                <w:b/>
                <w:sz w:val="32"/>
                <w:szCs w:val="32"/>
              </w:rPr>
            </w:pPr>
          </w:p>
          <w:p w:rsidR="00020BF1" w:rsidRDefault="00020BF1" w:rsidP="00151244">
            <w:pPr>
              <w:rPr>
                <w:b/>
                <w:sz w:val="32"/>
                <w:szCs w:val="32"/>
              </w:rPr>
            </w:pPr>
          </w:p>
          <w:p w:rsidR="00CF263B" w:rsidRPr="00CF263B" w:rsidRDefault="009B48DA" w:rsidP="007071D7">
            <w:pPr>
              <w:rPr>
                <w:b/>
                <w:sz w:val="24"/>
                <w:szCs w:val="24"/>
              </w:rPr>
            </w:pPr>
            <w:r w:rsidRPr="00020BF1">
              <w:rPr>
                <w:sz w:val="32"/>
                <w:szCs w:val="32"/>
              </w:rPr>
              <w:t>К</w:t>
            </w:r>
            <w:r w:rsidRPr="00F1646D">
              <w:rPr>
                <w:b/>
                <w:sz w:val="25"/>
                <w:szCs w:val="25"/>
              </w:rPr>
              <w:t xml:space="preserve">ОД </w:t>
            </w:r>
            <w:r w:rsidR="00CF263B" w:rsidRPr="00F1646D">
              <w:rPr>
                <w:b/>
                <w:sz w:val="25"/>
                <w:szCs w:val="25"/>
              </w:rPr>
              <w:t>ЭМИТЕНТА:</w:t>
            </w:r>
          </w:p>
        </w:tc>
        <w:tc>
          <w:tcPr>
            <w:tcW w:w="3686" w:type="dxa"/>
            <w:tcBorders>
              <w:top w:val="nil"/>
              <w:left w:val="nil"/>
              <w:bottom w:val="single" w:sz="4" w:space="0" w:color="auto"/>
              <w:right w:val="nil"/>
            </w:tcBorders>
            <w:vAlign w:val="bottom"/>
          </w:tcPr>
          <w:p w:rsidR="00CF263B" w:rsidRPr="00020BF1" w:rsidRDefault="00020BF1" w:rsidP="00151244">
            <w:pPr>
              <w:jc w:val="center"/>
              <w:rPr>
                <w:i/>
                <w:sz w:val="32"/>
                <w:szCs w:val="32"/>
              </w:rPr>
            </w:pPr>
            <w:r w:rsidRPr="00020BF1">
              <w:rPr>
                <w:b/>
                <w:bCs/>
                <w:i/>
                <w:iCs/>
                <w:sz w:val="32"/>
                <w:szCs w:val="32"/>
              </w:rPr>
              <w:t>00134-A</w:t>
            </w:r>
          </w:p>
        </w:tc>
      </w:tr>
      <w:tr w:rsidR="00CF263B" w:rsidRPr="00CF263B" w:rsidTr="00020BF1">
        <w:tc>
          <w:tcPr>
            <w:tcW w:w="2325" w:type="dxa"/>
            <w:tcBorders>
              <w:top w:val="nil"/>
              <w:left w:val="nil"/>
              <w:bottom w:val="nil"/>
              <w:right w:val="nil"/>
            </w:tcBorders>
          </w:tcPr>
          <w:p w:rsidR="00CF263B" w:rsidRPr="00CF263B" w:rsidRDefault="00CF263B" w:rsidP="00151244"/>
        </w:tc>
        <w:tc>
          <w:tcPr>
            <w:tcW w:w="3686" w:type="dxa"/>
            <w:tcBorders>
              <w:top w:val="single" w:sz="4" w:space="0" w:color="auto"/>
              <w:left w:val="nil"/>
              <w:right w:val="nil"/>
            </w:tcBorders>
          </w:tcPr>
          <w:p w:rsidR="00CF263B" w:rsidRPr="00CF263B" w:rsidRDefault="00CF263B" w:rsidP="00151244">
            <w:pPr>
              <w:jc w:val="center"/>
            </w:pPr>
            <w:r w:rsidRPr="00CF263B">
              <w:t>(уникальный код эмитента)</w:t>
            </w:r>
          </w:p>
        </w:tc>
      </w:tr>
    </w:tbl>
    <w:p w:rsidR="00CF263B" w:rsidRDefault="00CF263B" w:rsidP="009B48DA">
      <w:pPr>
        <w:ind w:left="2520"/>
        <w:rPr>
          <w:sz w:val="24"/>
          <w:szCs w:val="24"/>
        </w:rPr>
      </w:pPr>
    </w:p>
    <w:tbl>
      <w:tblPr>
        <w:tblW w:w="4111" w:type="dxa"/>
        <w:tblInd w:w="2552" w:type="dxa"/>
        <w:tblLayout w:type="fixed"/>
        <w:tblCellMar>
          <w:left w:w="28" w:type="dxa"/>
          <w:right w:w="28" w:type="dxa"/>
        </w:tblCellMar>
        <w:tblLook w:val="0000" w:firstRow="0" w:lastRow="0" w:firstColumn="0" w:lastColumn="0" w:noHBand="0" w:noVBand="0"/>
      </w:tblPr>
      <w:tblGrid>
        <w:gridCol w:w="311"/>
        <w:gridCol w:w="3800"/>
      </w:tblGrid>
      <w:tr w:rsidR="009B48DA" w:rsidRPr="00F1646D" w:rsidTr="00020BF1">
        <w:tc>
          <w:tcPr>
            <w:tcW w:w="311" w:type="dxa"/>
            <w:tcBorders>
              <w:top w:val="nil"/>
              <w:left w:val="nil"/>
              <w:bottom w:val="nil"/>
              <w:right w:val="nil"/>
            </w:tcBorders>
            <w:vAlign w:val="bottom"/>
          </w:tcPr>
          <w:p w:rsidR="009B48DA" w:rsidRPr="00F1646D" w:rsidRDefault="009B48DA" w:rsidP="00020BF1">
            <w:pPr>
              <w:ind w:left="-709"/>
              <w:rPr>
                <w:b/>
                <w:sz w:val="25"/>
                <w:szCs w:val="25"/>
              </w:rPr>
            </w:pPr>
            <w:r w:rsidRPr="00F1646D">
              <w:rPr>
                <w:b/>
                <w:sz w:val="25"/>
                <w:szCs w:val="25"/>
              </w:rPr>
              <w:t>ЗА</w:t>
            </w:r>
          </w:p>
        </w:tc>
        <w:tc>
          <w:tcPr>
            <w:tcW w:w="3800" w:type="dxa"/>
            <w:tcBorders>
              <w:top w:val="nil"/>
              <w:left w:val="nil"/>
              <w:bottom w:val="single" w:sz="4" w:space="0" w:color="auto"/>
              <w:right w:val="nil"/>
            </w:tcBorders>
            <w:vAlign w:val="bottom"/>
          </w:tcPr>
          <w:p w:rsidR="009B48DA" w:rsidRPr="002B40C8" w:rsidRDefault="00020BF1" w:rsidP="00E121CA">
            <w:pPr>
              <w:rPr>
                <w:i/>
                <w:sz w:val="25"/>
                <w:szCs w:val="25"/>
              </w:rPr>
            </w:pPr>
            <w:r w:rsidRPr="002B40C8">
              <w:rPr>
                <w:b/>
                <w:bCs/>
                <w:i/>
                <w:sz w:val="32"/>
                <w:szCs w:val="32"/>
              </w:rPr>
              <w:t xml:space="preserve">за </w:t>
            </w:r>
            <w:r w:rsidR="00E121CA">
              <w:rPr>
                <w:b/>
                <w:bCs/>
                <w:i/>
                <w:sz w:val="32"/>
                <w:szCs w:val="32"/>
                <w:lang w:val="en-US"/>
              </w:rPr>
              <w:t>12</w:t>
            </w:r>
            <w:r w:rsidRPr="002B40C8">
              <w:rPr>
                <w:b/>
                <w:bCs/>
                <w:i/>
                <w:sz w:val="32"/>
                <w:szCs w:val="32"/>
              </w:rPr>
              <w:t xml:space="preserve"> месяцев 202</w:t>
            </w:r>
            <w:r w:rsidR="002F266F">
              <w:rPr>
                <w:b/>
                <w:bCs/>
                <w:i/>
                <w:sz w:val="32"/>
                <w:szCs w:val="32"/>
              </w:rPr>
              <w:t>2</w:t>
            </w:r>
            <w:r w:rsidRPr="002B40C8">
              <w:rPr>
                <w:b/>
                <w:bCs/>
                <w:i/>
                <w:sz w:val="32"/>
                <w:szCs w:val="32"/>
              </w:rPr>
              <w:t xml:space="preserve"> года</w:t>
            </w:r>
          </w:p>
        </w:tc>
      </w:tr>
      <w:tr w:rsidR="009B48DA" w:rsidRPr="00AE4A36" w:rsidTr="00020BF1">
        <w:tc>
          <w:tcPr>
            <w:tcW w:w="311" w:type="dxa"/>
            <w:tcBorders>
              <w:top w:val="nil"/>
              <w:left w:val="nil"/>
              <w:bottom w:val="nil"/>
              <w:right w:val="nil"/>
            </w:tcBorders>
          </w:tcPr>
          <w:p w:rsidR="009B48DA" w:rsidRPr="00AE4A36" w:rsidRDefault="009B48DA" w:rsidP="00151244"/>
        </w:tc>
        <w:tc>
          <w:tcPr>
            <w:tcW w:w="3800" w:type="dxa"/>
            <w:tcBorders>
              <w:top w:val="single" w:sz="4" w:space="0" w:color="auto"/>
              <w:left w:val="nil"/>
              <w:right w:val="nil"/>
            </w:tcBorders>
          </w:tcPr>
          <w:p w:rsidR="009B48DA" w:rsidRPr="00AE4A36" w:rsidRDefault="009B48DA" w:rsidP="00151244">
            <w:pPr>
              <w:jc w:val="center"/>
            </w:pPr>
          </w:p>
        </w:tc>
      </w:tr>
    </w:tbl>
    <w:p w:rsidR="00020BF1" w:rsidRDefault="00020BF1" w:rsidP="00922F84">
      <w:pPr>
        <w:rPr>
          <w:b/>
          <w:bCs/>
          <w:sz w:val="24"/>
          <w:szCs w:val="24"/>
        </w:rPr>
      </w:pPr>
    </w:p>
    <w:p w:rsidR="00801FDA" w:rsidRPr="00157527" w:rsidRDefault="00020BF1" w:rsidP="00922F84">
      <w:pPr>
        <w:rPr>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151244" w:rsidRPr="00157527" w:rsidRDefault="00151244" w:rsidP="00922F84">
      <w:pPr>
        <w:rPr>
          <w:sz w:val="24"/>
          <w:szCs w:val="24"/>
        </w:rPr>
      </w:pPr>
    </w:p>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020BF1" w:rsidTr="00FF1949">
        <w:trPr>
          <w:gridAfter w:val="1"/>
          <w:wAfter w:w="360" w:type="dxa"/>
        </w:trPr>
        <w:tc>
          <w:tcPr>
            <w:tcW w:w="1892" w:type="dxa"/>
            <w:tcBorders>
              <w:top w:val="single" w:sz="6" w:space="0" w:color="auto"/>
              <w:left w:val="single" w:sz="6" w:space="0" w:color="auto"/>
              <w:bottom w:val="nil"/>
              <w:right w:val="nil"/>
            </w:tcBorders>
          </w:tcPr>
          <w:p w:rsidR="00020BF1" w:rsidRDefault="00020BF1" w:rsidP="00FF1949">
            <w:r>
              <w:t>Адрес эмитента</w:t>
            </w:r>
          </w:p>
        </w:tc>
        <w:tc>
          <w:tcPr>
            <w:tcW w:w="7360" w:type="dxa"/>
            <w:tcBorders>
              <w:top w:val="single" w:sz="6" w:space="0" w:color="auto"/>
              <w:left w:val="nil"/>
              <w:bottom w:val="nil"/>
              <w:right w:val="single" w:sz="6" w:space="0" w:color="auto"/>
            </w:tcBorders>
          </w:tcPr>
          <w:p w:rsidR="00020BF1" w:rsidRPr="006620BD" w:rsidRDefault="00020BF1" w:rsidP="00FF1949">
            <w:pPr>
              <w:rPr>
                <w:bCs/>
              </w:rPr>
            </w:pPr>
            <w:r w:rsidRPr="006620BD">
              <w:rPr>
                <w:bCs/>
              </w:rPr>
              <w:t>694620 Российская Федерация, Сахалинская область, г. Холмск, ул. Победы</w:t>
            </w:r>
            <w:r w:rsidR="00EC1AFD">
              <w:rPr>
                <w:bCs/>
              </w:rPr>
              <w:t>, д.</w:t>
            </w:r>
            <w:r w:rsidRPr="006620BD">
              <w:rPr>
                <w:bCs/>
              </w:rPr>
              <w:t xml:space="preserve"> 18</w:t>
            </w:r>
            <w:r w:rsidR="00AC113C">
              <w:rPr>
                <w:bCs/>
              </w:rPr>
              <w:t>,</w:t>
            </w:r>
            <w:r w:rsidRPr="006620BD">
              <w:rPr>
                <w:bCs/>
              </w:rPr>
              <w:t xml:space="preserve"> корп. А</w:t>
            </w:r>
          </w:p>
        </w:tc>
      </w:tr>
      <w:tr w:rsidR="00020BF1" w:rsidTr="00FF1949">
        <w:tc>
          <w:tcPr>
            <w:tcW w:w="1892" w:type="dxa"/>
            <w:tcBorders>
              <w:top w:val="nil"/>
              <w:left w:val="single" w:sz="6" w:space="0" w:color="auto"/>
              <w:bottom w:val="single" w:sz="6" w:space="0" w:color="auto"/>
              <w:right w:val="nil"/>
            </w:tcBorders>
          </w:tcPr>
          <w:p w:rsidR="00020BF1" w:rsidRDefault="00020BF1" w:rsidP="00FF1949">
            <w:r>
              <w:t>Контактное лицо эмитента</w:t>
            </w:r>
          </w:p>
        </w:tc>
        <w:tc>
          <w:tcPr>
            <w:tcW w:w="7360" w:type="dxa"/>
            <w:tcBorders>
              <w:top w:val="nil"/>
              <w:left w:val="nil"/>
              <w:bottom w:val="single" w:sz="6" w:space="0" w:color="auto"/>
              <w:right w:val="single" w:sz="6" w:space="0" w:color="auto"/>
            </w:tcBorders>
          </w:tcPr>
          <w:p w:rsidR="00020BF1" w:rsidRPr="00020BF1" w:rsidRDefault="002F266F" w:rsidP="00FF1949">
            <w:r>
              <w:rPr>
                <w:bCs/>
              </w:rPr>
              <w:t>Сарайкин Сергей Викторович</w:t>
            </w:r>
            <w:r w:rsidR="00020BF1" w:rsidRPr="00020BF1">
              <w:rPr>
                <w:bCs/>
              </w:rPr>
              <w:t>, начальник отдела ценных бумаг</w:t>
            </w:r>
          </w:p>
          <w:p w:rsidR="00020BF1" w:rsidRPr="00020BF1" w:rsidRDefault="00020BF1" w:rsidP="00FF1949">
            <w:r w:rsidRPr="00020BF1">
              <w:t xml:space="preserve">Телефон: </w:t>
            </w:r>
            <w:r w:rsidRPr="00020BF1">
              <w:rPr>
                <w:bCs/>
              </w:rPr>
              <w:t>8(42433) 66-290</w:t>
            </w:r>
          </w:p>
          <w:p w:rsidR="00020BF1" w:rsidRPr="00020BF1" w:rsidRDefault="00020BF1" w:rsidP="00FF1949">
            <w:pPr>
              <w:rPr>
                <w:bCs/>
              </w:rPr>
            </w:pPr>
            <w:r w:rsidRPr="00020BF1">
              <w:t>Адрес электронной почты:</w:t>
            </w:r>
            <w:r w:rsidRPr="00020BF1">
              <w:rPr>
                <w:bCs/>
              </w:rPr>
              <w:t xml:space="preserve"> ocb1@sasco.ru</w:t>
            </w:r>
          </w:p>
        </w:tc>
        <w:tc>
          <w:tcPr>
            <w:tcW w:w="360" w:type="dxa"/>
          </w:tcPr>
          <w:p w:rsidR="00020BF1" w:rsidRDefault="00020BF1" w:rsidP="00FF1949"/>
        </w:tc>
      </w:tr>
    </w:tbl>
    <w:p w:rsidR="00020BF1" w:rsidRDefault="00020BF1" w:rsidP="00922F84">
      <w:pPr>
        <w:rPr>
          <w:sz w:val="24"/>
          <w:szCs w:val="24"/>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020BF1" w:rsidTr="00FF1949">
        <w:tc>
          <w:tcPr>
            <w:tcW w:w="1892" w:type="dxa"/>
            <w:tcBorders>
              <w:top w:val="single" w:sz="6" w:space="0" w:color="auto"/>
              <w:left w:val="single" w:sz="6" w:space="0" w:color="auto"/>
              <w:bottom w:val="single" w:sz="6" w:space="0" w:color="auto"/>
              <w:right w:val="nil"/>
            </w:tcBorders>
          </w:tcPr>
          <w:p w:rsidR="00020BF1" w:rsidRDefault="00020BF1" w:rsidP="00FF1949">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020BF1" w:rsidRPr="00917371" w:rsidRDefault="00020BF1" w:rsidP="00917371">
            <w:pPr>
              <w:rPr>
                <w:b/>
                <w:bCs/>
              </w:rPr>
            </w:pPr>
            <w:r w:rsidRPr="00917371">
              <w:rPr>
                <w:b/>
                <w:bCs/>
              </w:rPr>
              <w:t>www.disclosure.ru/issuer/6509000854/</w:t>
            </w:r>
          </w:p>
        </w:tc>
      </w:tr>
    </w:tbl>
    <w:p w:rsidR="00020BF1" w:rsidRDefault="00020BF1" w:rsidP="00922F84">
      <w:pPr>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5572"/>
        <w:gridCol w:w="3680"/>
      </w:tblGrid>
      <w:tr w:rsidR="00020BF1" w:rsidTr="00A56B4E">
        <w:tc>
          <w:tcPr>
            <w:tcW w:w="5572" w:type="dxa"/>
          </w:tcPr>
          <w:p w:rsidR="00020BF1" w:rsidRDefault="00020BF1" w:rsidP="00FF1949">
            <w:pPr>
              <w:spacing w:before="120"/>
            </w:pPr>
          </w:p>
          <w:p w:rsidR="008D19A7" w:rsidRPr="008D5BCA" w:rsidRDefault="008D5BCA" w:rsidP="00FF1949">
            <w:pPr>
              <w:spacing w:before="200"/>
            </w:pPr>
            <w:r w:rsidRPr="008D5BCA">
              <w:t xml:space="preserve">И.о. </w:t>
            </w:r>
            <w:r>
              <w:t>г</w:t>
            </w:r>
            <w:r w:rsidR="00020BF1" w:rsidRPr="008D5BCA">
              <w:t>енеральн</w:t>
            </w:r>
            <w:r>
              <w:t>ого</w:t>
            </w:r>
            <w:r w:rsidR="00020BF1" w:rsidRPr="008D5BCA">
              <w:t xml:space="preserve"> директор</w:t>
            </w:r>
            <w:r>
              <w:t>а</w:t>
            </w:r>
            <w:r w:rsidR="00020BF1" w:rsidRPr="008D5BCA">
              <w:t xml:space="preserve"> </w:t>
            </w:r>
          </w:p>
          <w:p w:rsidR="00D52ED1" w:rsidRDefault="00020BF1" w:rsidP="008D19A7">
            <w:r w:rsidRPr="008D5BCA">
              <w:t>ОАО «Сахалинское морское пароходство»</w:t>
            </w:r>
            <w:r w:rsidR="00D52ED1">
              <w:t xml:space="preserve"> </w:t>
            </w:r>
          </w:p>
          <w:p w:rsidR="00020BF1" w:rsidRDefault="00D52ED1" w:rsidP="008D19A7">
            <w:r>
              <w:t xml:space="preserve">(на основании приказа № 274 от 14.03.2023 г.) </w:t>
            </w:r>
          </w:p>
          <w:p w:rsidR="00020BF1" w:rsidRDefault="00020BF1" w:rsidP="00F978DE">
            <w:pPr>
              <w:spacing w:before="120" w:after="120"/>
            </w:pPr>
            <w:r>
              <w:t xml:space="preserve">Дата: </w:t>
            </w:r>
            <w:r w:rsidR="00E121CA" w:rsidRPr="008D5BCA">
              <w:t xml:space="preserve"> </w:t>
            </w:r>
            <w:r w:rsidR="00F978DE">
              <w:t>15</w:t>
            </w:r>
            <w:r w:rsidR="00E121CA" w:rsidRPr="008D5BCA">
              <w:t xml:space="preserve"> </w:t>
            </w:r>
            <w:r>
              <w:t xml:space="preserve"> </w:t>
            </w:r>
            <w:r w:rsidR="00E121CA" w:rsidRPr="008D5BCA">
              <w:t>марта</w:t>
            </w:r>
            <w:r>
              <w:t xml:space="preserve"> 202</w:t>
            </w:r>
            <w:r w:rsidR="00E121CA">
              <w:t>3</w:t>
            </w:r>
            <w:r>
              <w:t xml:space="preserve"> г.</w:t>
            </w:r>
          </w:p>
        </w:tc>
        <w:tc>
          <w:tcPr>
            <w:tcW w:w="3680" w:type="dxa"/>
            <w:vAlign w:val="bottom"/>
          </w:tcPr>
          <w:p w:rsidR="00020BF1" w:rsidRDefault="00020BF1" w:rsidP="00A56B4E">
            <w:pPr>
              <w:jc w:val="center"/>
            </w:pPr>
          </w:p>
          <w:p w:rsidR="00020BF1" w:rsidRDefault="00020BF1" w:rsidP="00F978DE">
            <w:pPr>
              <w:spacing w:before="120" w:after="120"/>
              <w:jc w:val="center"/>
            </w:pPr>
            <w:r>
              <w:t xml:space="preserve">____________ </w:t>
            </w:r>
            <w:r w:rsidR="00D52ED1">
              <w:t xml:space="preserve"> </w:t>
            </w:r>
            <w:r w:rsidR="00F978DE">
              <w:t>Д</w:t>
            </w:r>
            <w:r w:rsidRPr="00E27BAF">
              <w:t>.</w:t>
            </w:r>
            <w:r w:rsidR="00F978DE">
              <w:t>Г</w:t>
            </w:r>
            <w:r w:rsidRPr="00E27BAF">
              <w:t>.</w:t>
            </w:r>
            <w:r w:rsidR="00E27BAF" w:rsidRPr="00E27BAF">
              <w:t xml:space="preserve"> С</w:t>
            </w:r>
            <w:r w:rsidR="00F978DE">
              <w:t>омов</w:t>
            </w:r>
            <w:r w:rsidRPr="00E27BAF">
              <w:t xml:space="preserve"> </w:t>
            </w:r>
          </w:p>
        </w:tc>
      </w:tr>
    </w:tbl>
    <w:p w:rsidR="00C405E8" w:rsidRDefault="00C405E8"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p w:rsidR="006F1885" w:rsidRDefault="006F1885" w:rsidP="00C405E8">
      <w:pPr>
        <w:jc w:val="both"/>
        <w:rPr>
          <w:color w:val="FF0000"/>
        </w:rPr>
      </w:pPr>
    </w:p>
    <w:sdt>
      <w:sdtPr>
        <w:rPr>
          <w:rFonts w:ascii="Times New Roman" w:eastAsia="Times New Roman" w:hAnsi="Times New Roman" w:cs="Times New Roman"/>
          <w:b w:val="0"/>
          <w:bCs w:val="0"/>
          <w:color w:val="auto"/>
          <w:sz w:val="20"/>
          <w:szCs w:val="20"/>
          <w:lang w:eastAsia="ru-RU"/>
        </w:rPr>
        <w:id w:val="1355674445"/>
        <w:docPartObj>
          <w:docPartGallery w:val="Table of Contents"/>
          <w:docPartUnique/>
        </w:docPartObj>
      </w:sdtPr>
      <w:sdtContent>
        <w:p w:rsidR="006F1885" w:rsidRPr="006F1885" w:rsidRDefault="006F1885" w:rsidP="006F1885">
          <w:pPr>
            <w:pStyle w:val="af5"/>
            <w:spacing w:before="0" w:line="240" w:lineRule="auto"/>
            <w:jc w:val="center"/>
            <w:rPr>
              <w:rFonts w:ascii="Times New Roman" w:hAnsi="Times New Roman" w:cs="Times New Roman"/>
              <w:color w:val="auto"/>
              <w:sz w:val="20"/>
              <w:szCs w:val="20"/>
            </w:rPr>
          </w:pPr>
          <w:r w:rsidRPr="006F1885">
            <w:rPr>
              <w:rFonts w:ascii="Times New Roman" w:hAnsi="Times New Roman" w:cs="Times New Roman"/>
              <w:color w:val="auto"/>
              <w:sz w:val="20"/>
              <w:szCs w:val="20"/>
            </w:rPr>
            <w:t>Оглавление</w:t>
          </w:r>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r w:rsidRPr="006F1885">
            <w:rPr>
              <w:rFonts w:ascii="Times New Roman" w:hAnsi="Times New Roman" w:cs="Times New Roman"/>
              <w:sz w:val="20"/>
              <w:szCs w:val="20"/>
            </w:rPr>
            <w:fldChar w:fldCharType="begin"/>
          </w:r>
          <w:r w:rsidRPr="006F1885">
            <w:rPr>
              <w:rFonts w:ascii="Times New Roman" w:hAnsi="Times New Roman" w:cs="Times New Roman"/>
              <w:sz w:val="20"/>
              <w:szCs w:val="20"/>
            </w:rPr>
            <w:instrText xml:space="preserve"> TOC \o "1-3" \h \z \u </w:instrText>
          </w:r>
          <w:r w:rsidRPr="006F1885">
            <w:rPr>
              <w:rFonts w:ascii="Times New Roman" w:hAnsi="Times New Roman" w:cs="Times New Roman"/>
              <w:sz w:val="20"/>
              <w:szCs w:val="20"/>
            </w:rPr>
            <w:fldChar w:fldCharType="separate"/>
          </w:r>
          <w:hyperlink w:anchor="_Toc129801819" w:history="1">
            <w:r w:rsidRPr="006F1885">
              <w:rPr>
                <w:rStyle w:val="af"/>
                <w:rFonts w:ascii="Times New Roman" w:hAnsi="Times New Roman"/>
                <w:noProof/>
                <w:sz w:val="20"/>
                <w:szCs w:val="20"/>
              </w:rPr>
              <w:t>Введение</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_Toc129801819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3</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0" w:history="1">
            <w:r w:rsidRPr="006F1885">
              <w:rPr>
                <w:rStyle w:val="af"/>
                <w:rFonts w:ascii="Times New Roman" w:hAnsi="Times New Roman"/>
                <w:noProof/>
                <w:sz w:val="20"/>
                <w:szCs w:val="20"/>
              </w:rPr>
              <w:t>Раздел 1. Управленческий отчет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_Toc129801820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4</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1" w:history="1">
            <w:r w:rsidRPr="006F1885">
              <w:rPr>
                <w:rStyle w:val="af"/>
                <w:rFonts w:ascii="Times New Roman" w:hAnsi="Times New Roman"/>
                <w:noProof/>
                <w:sz w:val="20"/>
                <w:szCs w:val="20"/>
              </w:rPr>
              <w:t>1.1. Общие сведения об эмитенте и его деятельности</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_Toc129801821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4</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2" w:history="1">
            <w:r w:rsidRPr="006F1885">
              <w:rPr>
                <w:rStyle w:val="af"/>
                <w:rFonts w:ascii="Times New Roman" w:hAnsi="Times New Roman"/>
                <w:noProof/>
                <w:sz w:val="20"/>
                <w:szCs w:val="20"/>
              </w:rPr>
              <w:t>1.2. Сведения о положении эмитента в отрасли</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_Toc129801822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4</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3" w:history="1">
            <w:r w:rsidRPr="006F1885">
              <w:rPr>
                <w:rStyle w:val="af"/>
                <w:rFonts w:ascii="Times New Roman" w:hAnsi="Times New Roman"/>
                <w:noProof/>
                <w:sz w:val="20"/>
                <w:szCs w:val="20"/>
              </w:rPr>
              <w:t>1.3. Основные операционные показатели, характеризующие деятельность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_Toc129801823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5</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4" w:history="1">
            <w:r w:rsidRPr="006F1885">
              <w:rPr>
                <w:rStyle w:val="af"/>
                <w:rFonts w:ascii="Times New Roman" w:hAnsi="Times New Roman"/>
                <w:noProof/>
                <w:sz w:val="20"/>
                <w:szCs w:val="20"/>
              </w:rPr>
              <w:t>1.4. Основные финансовые показатели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_Toc129801824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5" w:history="1">
            <w:r w:rsidRPr="006F1885">
              <w:rPr>
                <w:rStyle w:val="af"/>
                <w:rFonts w:ascii="Times New Roman" w:hAnsi="Times New Roman"/>
                <w:noProof/>
                <w:sz w:val="20"/>
                <w:szCs w:val="20"/>
              </w:rPr>
              <w:t>1.5. Сведения об основных поставщиках, имеющих для эмитента существенное значение</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_Toc129801825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6" w:history="1">
            <w:r w:rsidRPr="006F1885">
              <w:rPr>
                <w:rStyle w:val="af"/>
                <w:rFonts w:ascii="Times New Roman" w:hAnsi="Times New Roman"/>
                <w:noProof/>
                <w:sz w:val="20"/>
                <w:szCs w:val="20"/>
              </w:rPr>
              <w:t>1.6. Сведения об основных дебиторах, имеющих для эмитента существенное значение</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_Toc129801826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7" w:history="1">
            <w:r w:rsidRPr="006F1885">
              <w:rPr>
                <w:rStyle w:val="af"/>
                <w:rFonts w:ascii="Times New Roman" w:hAnsi="Times New Roman"/>
                <w:noProof/>
                <w:sz w:val="20"/>
                <w:szCs w:val="20"/>
              </w:rPr>
              <w:t>1.7. Сведения об обязательствах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_Toc129801827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8" w:history="1">
            <w:r w:rsidRPr="006F1885">
              <w:rPr>
                <w:rStyle w:val="af"/>
                <w:rFonts w:ascii="Times New Roman" w:hAnsi="Times New Roman"/>
                <w:noProof/>
                <w:sz w:val="20"/>
                <w:szCs w:val="20"/>
              </w:rPr>
              <w:t>1.8. Сведения о перспективах развития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_Toc129801828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29" w:history="1">
            <w:r w:rsidRPr="006F1885">
              <w:rPr>
                <w:rStyle w:val="af"/>
                <w:rFonts w:ascii="Times New Roman" w:hAnsi="Times New Roman"/>
                <w:noProof/>
                <w:sz w:val="20"/>
                <w:szCs w:val="20"/>
              </w:rPr>
              <w:t>1.9. Сведения о рисках, связанных с деятельностью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_Toc129801829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6</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0" w:history="1">
            <w:r w:rsidRPr="006F1885">
              <w:rPr>
                <w:rStyle w:val="af"/>
                <w:rFonts w:ascii="Times New Roman" w:hAnsi="Times New Roman"/>
                <w:noProof/>
                <w:sz w:val="20"/>
                <w:szCs w:val="20"/>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_Toc129801830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1" w:history="1">
            <w:r w:rsidRPr="006F1885">
              <w:rPr>
                <w:rStyle w:val="af"/>
                <w:rFonts w:ascii="Times New Roman" w:hAnsi="Times New Roman"/>
                <w:noProof/>
                <w:sz w:val="20"/>
                <w:szCs w:val="20"/>
              </w:rPr>
              <w:t>2.1. Информация о лицах, входящих в состав органов управления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_Toc129801831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2" w:history="1">
            <w:r w:rsidRPr="006F1885">
              <w:rPr>
                <w:rStyle w:val="af"/>
                <w:rFonts w:ascii="Times New Roman" w:hAnsi="Times New Roman"/>
                <w:noProof/>
                <w:sz w:val="20"/>
                <w:szCs w:val="20"/>
              </w:rPr>
              <w:t>2.1.1. Состав совета директоров (наблюдательного совета)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_Toc129801832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3" w:history="1">
            <w:r w:rsidRPr="006F1885">
              <w:rPr>
                <w:rStyle w:val="af"/>
                <w:rFonts w:ascii="Times New Roman" w:hAnsi="Times New Roman"/>
                <w:noProof/>
                <w:sz w:val="20"/>
                <w:szCs w:val="20"/>
              </w:rPr>
              <w:t>2.1.2. Информация о единоличном исполнительном органе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_Toc129801833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4" w:history="1">
            <w:r w:rsidRPr="006F1885">
              <w:rPr>
                <w:rStyle w:val="af"/>
                <w:rFonts w:ascii="Times New Roman" w:hAnsi="Times New Roman"/>
                <w:noProof/>
                <w:sz w:val="20"/>
                <w:szCs w:val="20"/>
              </w:rPr>
              <w:t>2.1.3. Состав коллегиального исполнительного органа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_Toc129801834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5" w:history="1">
            <w:r w:rsidRPr="006F1885">
              <w:rPr>
                <w:rStyle w:val="af"/>
                <w:rFonts w:ascii="Times New Roman" w:hAnsi="Times New Roman"/>
                <w:noProof/>
                <w:sz w:val="20"/>
                <w:szCs w:val="20"/>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_Toc129801835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7</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6" w:history="1">
            <w:r w:rsidRPr="006F1885">
              <w:rPr>
                <w:rStyle w:val="af"/>
                <w:rFonts w:ascii="Times New Roman" w:hAnsi="Times New Roman"/>
                <w:noProof/>
                <w:sz w:val="20"/>
                <w:szCs w:val="20"/>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_Toc129801836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8</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7" w:history="1">
            <w:r w:rsidRPr="006F1885">
              <w:rPr>
                <w:rStyle w:val="af"/>
                <w:rFonts w:ascii="Times New Roman" w:hAnsi="Times New Roman"/>
                <w:noProof/>
                <w:sz w:val="20"/>
                <w:szCs w:val="20"/>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_Toc129801837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10</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8" w:history="1">
            <w:r w:rsidRPr="006F1885">
              <w:rPr>
                <w:rStyle w:val="af"/>
                <w:rFonts w:ascii="Times New Roman" w:hAnsi="Times New Roman"/>
                <w:noProof/>
                <w:sz w:val="20"/>
                <w:szCs w:val="20"/>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_Toc129801838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10</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39" w:history="1">
            <w:r w:rsidRPr="006F1885">
              <w:rPr>
                <w:rStyle w:val="af"/>
                <w:rFonts w:ascii="Times New Roman" w:hAnsi="Times New Roman"/>
                <w:noProof/>
                <w:sz w:val="20"/>
                <w:szCs w:val="20"/>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_Toc129801839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10</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0" w:history="1">
            <w:r w:rsidRPr="006F1885">
              <w:rPr>
                <w:rStyle w:val="af"/>
                <w:rFonts w:ascii="Times New Roman" w:hAnsi="Times New Roman"/>
                <w:noProof/>
                <w:sz w:val="20"/>
                <w:szCs w:val="20"/>
              </w:rPr>
              <w:t>3.1. Сведения об общем количестве акционеров (участников, членов)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_Toc129801840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10</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1" w:history="1">
            <w:r w:rsidRPr="006F1885">
              <w:rPr>
                <w:rStyle w:val="af"/>
                <w:rFonts w:ascii="Times New Roman" w:hAnsi="Times New Roman"/>
                <w:noProof/>
                <w:sz w:val="20"/>
                <w:szCs w:val="20"/>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_Toc129801841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2" w:history="1">
            <w:r w:rsidRPr="006F1885">
              <w:rPr>
                <w:rStyle w:val="af"/>
                <w:rFonts w:ascii="Times New Roman" w:hAnsi="Times New Roman"/>
                <w:noProof/>
                <w:sz w:val="20"/>
                <w:szCs w:val="20"/>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_Toc129801842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3" w:history="1">
            <w:r w:rsidRPr="006F1885">
              <w:rPr>
                <w:rStyle w:val="af"/>
                <w:rFonts w:ascii="Times New Roman" w:hAnsi="Times New Roman"/>
                <w:noProof/>
                <w:sz w:val="20"/>
                <w:szCs w:val="20"/>
              </w:rPr>
              <w:t>3.4. Сделки эмитента, в совершении которых имелась заинтересованность</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_Toc129801843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4" w:history="1">
            <w:r w:rsidRPr="006F1885">
              <w:rPr>
                <w:rStyle w:val="af"/>
                <w:rFonts w:ascii="Times New Roman" w:hAnsi="Times New Roman"/>
                <w:noProof/>
                <w:sz w:val="20"/>
                <w:szCs w:val="20"/>
              </w:rPr>
              <w:t>3.5. Крупные сделки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_Toc129801844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5" w:history="1">
            <w:r w:rsidRPr="006F1885">
              <w:rPr>
                <w:rStyle w:val="af"/>
                <w:rFonts w:ascii="Times New Roman" w:hAnsi="Times New Roman"/>
                <w:noProof/>
                <w:sz w:val="20"/>
                <w:szCs w:val="20"/>
              </w:rPr>
              <w:t>Раздел 4. Дополнительные сведения об эмитенте и о размещенных им ценных бумагах</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_Toc129801845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6" w:history="1">
            <w:r w:rsidRPr="006F1885">
              <w:rPr>
                <w:rStyle w:val="af"/>
                <w:rFonts w:ascii="Times New Roman" w:hAnsi="Times New Roman"/>
                <w:noProof/>
                <w:sz w:val="20"/>
                <w:szCs w:val="20"/>
              </w:rPr>
              <w:t>4.1. Подконтрольные эмитенту организации, имеющие для него существенное значение</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_Toc129801846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7" w:history="1">
            <w:r w:rsidRPr="006F1885">
              <w:rPr>
                <w:rStyle w:val="af"/>
                <w:rFonts w:ascii="Times New Roman" w:hAnsi="Times New Roman"/>
                <w:noProof/>
                <w:sz w:val="20"/>
                <w:szCs w:val="20"/>
              </w:rPr>
              <w:t>4.2. Дополнительные сведения, раскрываемые эмитентами облигаций с целевым использованием денежных средств, полученных от их размещения</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_Toc129801847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11</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8" w:history="1">
            <w:r w:rsidRPr="006F1885">
              <w:rPr>
                <w:rStyle w:val="af"/>
                <w:rFonts w:ascii="Times New Roman" w:hAnsi="Times New Roman"/>
                <w:noProof/>
                <w:sz w:val="20"/>
                <w:szCs w:val="20"/>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_Toc129801848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49" w:history="1">
            <w:r w:rsidRPr="006F1885">
              <w:rPr>
                <w:rStyle w:val="af"/>
                <w:rFonts w:ascii="Times New Roman" w:hAnsi="Times New Roman"/>
                <w:noProof/>
                <w:sz w:val="20"/>
                <w:szCs w:val="20"/>
              </w:rPr>
              <w:t>4.3.1. Дополнительные сведения об ипотечном покрытии по облигациям эмитента с ипотечным покрытием</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_Toc129801849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0" w:history="1">
            <w:r w:rsidRPr="006F1885">
              <w:rPr>
                <w:rStyle w:val="af"/>
                <w:rFonts w:ascii="Times New Roman" w:hAnsi="Times New Roman"/>
                <w:noProof/>
                <w:sz w:val="20"/>
                <w:szCs w:val="20"/>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_Toc129801850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1" w:history="1">
            <w:r w:rsidRPr="006F1885">
              <w:rPr>
                <w:rStyle w:val="af"/>
                <w:rFonts w:ascii="Times New Roman" w:hAnsi="Times New Roman"/>
                <w:noProof/>
                <w:sz w:val="20"/>
                <w:szCs w:val="20"/>
              </w:rPr>
              <w:t>4.4. Сведения об объявленных и выплаченных дивидендах по акциям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_Toc129801851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2" w:history="1">
            <w:r w:rsidRPr="006F1885">
              <w:rPr>
                <w:rStyle w:val="af"/>
                <w:rFonts w:ascii="Times New Roman" w:hAnsi="Times New Roman"/>
                <w:noProof/>
                <w:sz w:val="20"/>
                <w:szCs w:val="20"/>
              </w:rPr>
              <w:t>4.5. Сведения об организациях, осуществляющих учет прав на эмиссионные ценные бумаги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_Toc129801852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3" w:history="1">
            <w:r w:rsidRPr="006F1885">
              <w:rPr>
                <w:rStyle w:val="af"/>
                <w:rFonts w:ascii="Times New Roman" w:hAnsi="Times New Roman"/>
                <w:noProof/>
                <w:sz w:val="20"/>
                <w:szCs w:val="20"/>
              </w:rPr>
              <w:t>4.5.1. Сведения о регистраторе, осуществляющем ведение реестра владельцев ценных бумаг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_Toc129801853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4" w:history="1">
            <w:r w:rsidRPr="006F1885">
              <w:rPr>
                <w:rStyle w:val="af"/>
                <w:rFonts w:ascii="Times New Roman" w:hAnsi="Times New Roman"/>
                <w:noProof/>
                <w:sz w:val="20"/>
                <w:szCs w:val="20"/>
              </w:rPr>
              <w:t>4.5.2. Сведения о депозитарии, осуществляющем централизованный учет прав на ценные бумаги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_Toc129801854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5" w:history="1">
            <w:r w:rsidRPr="006F1885">
              <w:rPr>
                <w:rStyle w:val="af"/>
                <w:rFonts w:ascii="Times New Roman" w:hAnsi="Times New Roman"/>
                <w:noProof/>
                <w:sz w:val="20"/>
                <w:szCs w:val="20"/>
              </w:rPr>
              <w:t>4.6. Информация об аудиторе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_Toc129801855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12</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6" w:history="1">
            <w:r w:rsidRPr="006F1885">
              <w:rPr>
                <w:rStyle w:val="af"/>
                <w:rFonts w:ascii="Times New Roman" w:hAnsi="Times New Roman"/>
                <w:noProof/>
                <w:sz w:val="20"/>
                <w:szCs w:val="20"/>
              </w:rPr>
              <w:t>Раздел 5. Консолидированная финансовая отчетность (финансовая отчетность), бухгалтерская (финансовая) отчетность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_Toc129801856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14</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7" w:history="1">
            <w:r w:rsidRPr="006F1885">
              <w:rPr>
                <w:rStyle w:val="af"/>
                <w:rFonts w:ascii="Times New Roman" w:hAnsi="Times New Roman"/>
                <w:noProof/>
                <w:sz w:val="20"/>
                <w:szCs w:val="20"/>
              </w:rPr>
              <w:t>5.1. Консолидированная финансовая отчетность (финансовая отчетность) эмитента</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_Toc129801857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14</w:t>
            </w:r>
            <w:r w:rsidRPr="006F1885">
              <w:rPr>
                <w:rFonts w:ascii="Times New Roman" w:hAnsi="Times New Roman" w:cs="Times New Roman"/>
                <w:noProof/>
                <w:webHidden/>
                <w:sz w:val="20"/>
                <w:szCs w:val="20"/>
              </w:rPr>
              <w:fldChar w:fldCharType="end"/>
            </w:r>
          </w:hyperlink>
        </w:p>
        <w:p w:rsidR="006F1885" w:rsidRPr="006F1885" w:rsidRDefault="006F1885" w:rsidP="006F1885">
          <w:pPr>
            <w:pStyle w:val="22"/>
            <w:tabs>
              <w:tab w:val="right" w:leader="dot" w:pos="9344"/>
            </w:tabs>
            <w:spacing w:after="0" w:line="240" w:lineRule="auto"/>
            <w:rPr>
              <w:rFonts w:ascii="Times New Roman" w:hAnsi="Times New Roman" w:cs="Times New Roman"/>
              <w:noProof/>
              <w:sz w:val="20"/>
              <w:szCs w:val="20"/>
              <w:lang w:eastAsia="ru-RU"/>
            </w:rPr>
          </w:pPr>
          <w:hyperlink w:anchor="_Toc129801858" w:history="1">
            <w:r w:rsidRPr="006F1885">
              <w:rPr>
                <w:rStyle w:val="af"/>
                <w:rFonts w:ascii="Times New Roman" w:hAnsi="Times New Roman"/>
                <w:noProof/>
                <w:sz w:val="20"/>
                <w:szCs w:val="20"/>
              </w:rPr>
              <w:t>5.2. Бухгалтерская (финансовая) отчетность</w:t>
            </w:r>
            <w:r w:rsidRPr="006F1885">
              <w:rPr>
                <w:rFonts w:ascii="Times New Roman" w:hAnsi="Times New Roman" w:cs="Times New Roman"/>
                <w:noProof/>
                <w:webHidden/>
                <w:sz w:val="20"/>
                <w:szCs w:val="20"/>
              </w:rPr>
              <w:tab/>
            </w:r>
            <w:r w:rsidRPr="006F1885">
              <w:rPr>
                <w:rFonts w:ascii="Times New Roman" w:hAnsi="Times New Roman" w:cs="Times New Roman"/>
                <w:noProof/>
                <w:webHidden/>
                <w:sz w:val="20"/>
                <w:szCs w:val="20"/>
              </w:rPr>
              <w:fldChar w:fldCharType="begin"/>
            </w:r>
            <w:r w:rsidRPr="006F1885">
              <w:rPr>
                <w:rFonts w:ascii="Times New Roman" w:hAnsi="Times New Roman" w:cs="Times New Roman"/>
                <w:noProof/>
                <w:webHidden/>
                <w:sz w:val="20"/>
                <w:szCs w:val="20"/>
              </w:rPr>
              <w:instrText xml:space="preserve"> PAGEREF _Toc129801858 \h </w:instrText>
            </w:r>
            <w:r w:rsidRPr="006F1885">
              <w:rPr>
                <w:rFonts w:ascii="Times New Roman" w:hAnsi="Times New Roman" w:cs="Times New Roman"/>
                <w:noProof/>
                <w:webHidden/>
                <w:sz w:val="20"/>
                <w:szCs w:val="20"/>
              </w:rPr>
            </w:r>
            <w:r w:rsidRPr="006F1885">
              <w:rPr>
                <w:rFonts w:ascii="Times New Roman" w:hAnsi="Times New Roman" w:cs="Times New Roman"/>
                <w:noProof/>
                <w:webHidden/>
                <w:sz w:val="20"/>
                <w:szCs w:val="20"/>
              </w:rPr>
              <w:fldChar w:fldCharType="separate"/>
            </w:r>
            <w:r w:rsidRPr="006F1885">
              <w:rPr>
                <w:rFonts w:ascii="Times New Roman" w:hAnsi="Times New Roman" w:cs="Times New Roman"/>
                <w:noProof/>
                <w:webHidden/>
                <w:sz w:val="20"/>
                <w:szCs w:val="20"/>
              </w:rPr>
              <w:t>14</w:t>
            </w:r>
            <w:r w:rsidRPr="006F1885">
              <w:rPr>
                <w:rFonts w:ascii="Times New Roman" w:hAnsi="Times New Roman" w:cs="Times New Roman"/>
                <w:noProof/>
                <w:webHidden/>
                <w:sz w:val="20"/>
                <w:szCs w:val="20"/>
              </w:rPr>
              <w:fldChar w:fldCharType="end"/>
            </w:r>
          </w:hyperlink>
        </w:p>
        <w:p w:rsidR="006F1885" w:rsidRPr="00DA3867" w:rsidRDefault="006F1885" w:rsidP="006F1885">
          <w:pPr>
            <w:ind w:left="284"/>
          </w:pPr>
          <w:r w:rsidRPr="006F1885">
            <w:fldChar w:fldCharType="end"/>
          </w:r>
        </w:p>
      </w:sdtContent>
    </w:sdt>
    <w:p w:rsidR="006F1885" w:rsidRDefault="006F1885" w:rsidP="006F1885">
      <w:pPr>
        <w:spacing w:line="276" w:lineRule="auto"/>
        <w:jc w:val="both"/>
      </w:pPr>
    </w:p>
    <w:p w:rsidR="006F1885" w:rsidRPr="00ED20D2" w:rsidRDefault="006F1885" w:rsidP="006F1885">
      <w:pPr>
        <w:rPr>
          <w:lang w:val="en-US"/>
        </w:rPr>
      </w:pPr>
      <w:bookmarkStart w:id="0" w:name="_GoBack"/>
      <w:bookmarkEnd w:id="0"/>
    </w:p>
    <w:p w:rsidR="006F1885" w:rsidRPr="006F1885" w:rsidRDefault="006F1885" w:rsidP="006F1885">
      <w:pPr>
        <w:pStyle w:val="2"/>
        <w:rPr>
          <w:rFonts w:ascii="Times New Roman" w:eastAsiaTheme="minorEastAsia" w:hAnsi="Times New Roman"/>
          <w:i w:val="0"/>
          <w:iCs w:val="0"/>
        </w:rPr>
      </w:pPr>
      <w:bookmarkStart w:id="1" w:name="_Toc129801819"/>
      <w:r w:rsidRPr="006F1885">
        <w:rPr>
          <w:rFonts w:ascii="Times New Roman" w:eastAsiaTheme="minorEastAsia" w:hAnsi="Times New Roman"/>
          <w:i w:val="0"/>
          <w:iCs w:val="0"/>
        </w:rPr>
        <w:lastRenderedPageBreak/>
        <w:t>Введение</w:t>
      </w:r>
      <w:bookmarkEnd w:id="1"/>
    </w:p>
    <w:p w:rsidR="006F1885" w:rsidRDefault="006F1885" w:rsidP="006F1885">
      <w:pPr>
        <w:ind w:firstLine="426"/>
        <w:jc w:val="both"/>
      </w:pPr>
      <w:r>
        <w:t>Информация, содержащаяся в отчете эмитента, подлежит раскрытию в соответствии с пунктом 4 статьи 30 Федерального закона «О рынке ценных бумаг».</w:t>
      </w:r>
    </w:p>
    <w:p w:rsidR="006F1885" w:rsidRDefault="006F1885" w:rsidP="006F1885">
      <w:pPr>
        <w:pStyle w:val="SubHeading"/>
        <w:ind w:firstLine="426"/>
        <w:jc w:val="both"/>
      </w:pPr>
      <w:r>
        <w:t>Основания возникновения у эмитента обязанности осуществлять раскрытие информации в форме отчета эмитента:</w:t>
      </w:r>
    </w:p>
    <w:p w:rsidR="006F1885" w:rsidRPr="00EA60B0" w:rsidRDefault="006F1885" w:rsidP="006F1885">
      <w:pPr>
        <w:ind w:firstLine="426"/>
        <w:jc w:val="both"/>
        <w:rPr>
          <w:i/>
        </w:rPr>
      </w:pPr>
      <w:r w:rsidRPr="00EA60B0">
        <w:rPr>
          <w:rStyle w:val="Subst"/>
          <w:bCs/>
          <w:i w:val="0"/>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6F1885" w:rsidRDefault="006F1885" w:rsidP="006F1885">
      <w:pPr>
        <w:ind w:firstLine="426"/>
        <w:jc w:val="both"/>
      </w:pPr>
    </w:p>
    <w:p w:rsidR="006F1885" w:rsidRDefault="006F1885" w:rsidP="006F1885">
      <w:pPr>
        <w:ind w:firstLine="426"/>
        <w:jc w:val="both"/>
      </w:pPr>
      <w: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rsidR="006F1885" w:rsidRDefault="006F1885" w:rsidP="006F1885">
      <w:pPr>
        <w:ind w:firstLine="426"/>
        <w:jc w:val="both"/>
        <w:rPr>
          <w:color w:val="FF0000"/>
        </w:rPr>
      </w:pPr>
    </w:p>
    <w:p w:rsidR="006F1885" w:rsidRPr="00917371" w:rsidRDefault="006F1885" w:rsidP="006F1885">
      <w:pPr>
        <w:ind w:firstLine="426"/>
        <w:jc w:val="both"/>
      </w:pPr>
      <w:r w:rsidRPr="00917371">
        <w:t>В отчёте содержится ссылка на отчетность следующего вида: бухгалтерская (финансовая) отчетность, на основании которой в отчете эмитента раскрывается информация о финансово-хозяйственной деятельности эмитента.</w:t>
      </w:r>
    </w:p>
    <w:p w:rsidR="006F1885" w:rsidRDefault="006F1885" w:rsidP="006F1885">
      <w:pPr>
        <w:pStyle w:val="ThinDelim"/>
        <w:ind w:firstLine="426"/>
        <w:jc w:val="both"/>
      </w:pPr>
    </w:p>
    <w:p w:rsidR="006F1885" w:rsidRDefault="006F1885" w:rsidP="006F1885">
      <w:pPr>
        <w:ind w:firstLine="426"/>
        <w:jc w:val="both"/>
      </w:pPr>
      <w:r>
        <w:t>Бухгалтерская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6F1885" w:rsidRDefault="006F1885" w:rsidP="006F1885">
      <w:pPr>
        <w:ind w:firstLine="426"/>
        <w:jc w:val="both"/>
      </w:pPr>
    </w:p>
    <w:p w:rsidR="006F1885" w:rsidRDefault="006F1885" w:rsidP="006F1885">
      <w:pPr>
        <w:ind w:firstLine="426"/>
        <w:jc w:val="both"/>
      </w:pPr>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6F1885" w:rsidRDefault="006F1885" w:rsidP="006F1885">
      <w:pPr>
        <w:ind w:firstLine="426"/>
        <w:jc w:val="both"/>
      </w:pPr>
    </w:p>
    <w:p w:rsidR="006F1885" w:rsidRDefault="006F1885" w:rsidP="006F1885">
      <w:pPr>
        <w:ind w:firstLine="426"/>
        <w:jc w:val="both"/>
      </w:pPr>
      <w: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6F1885" w:rsidRDefault="006F1885" w:rsidP="006F1885">
      <w:pPr>
        <w:ind w:firstLine="426"/>
        <w:jc w:val="both"/>
        <w:rPr>
          <w:rStyle w:val="Subst"/>
          <w:bCs/>
          <w:i w:val="0"/>
          <w:iCs/>
        </w:rPr>
      </w:pPr>
      <w:r w:rsidRPr="00917371">
        <w:rPr>
          <w:rStyle w:val="Subst"/>
          <w:b w:val="0"/>
          <w:bCs/>
          <w:i w:val="0"/>
          <w:iCs/>
        </w:rPr>
        <w:t>Иная информация:</w:t>
      </w:r>
      <w:r w:rsidRPr="00917371">
        <w:rPr>
          <w:rStyle w:val="Subst"/>
          <w:bCs/>
          <w:i w:val="0"/>
          <w:iCs/>
        </w:rPr>
        <w:t xml:space="preserve"> нет</w:t>
      </w:r>
    </w:p>
    <w:p w:rsidR="006F1885" w:rsidRDefault="006F1885" w:rsidP="006F1885">
      <w:pPr>
        <w:jc w:val="both"/>
        <w:rPr>
          <w:rStyle w:val="Subst"/>
          <w:bCs/>
          <w:i w:val="0"/>
          <w:iCs/>
        </w:rPr>
      </w:pPr>
    </w:p>
    <w:p w:rsidR="006F1885" w:rsidRDefault="006F1885" w:rsidP="006F1885">
      <w:pPr>
        <w:jc w:val="both"/>
        <w:rPr>
          <w:rStyle w:val="Subst"/>
          <w:bCs/>
          <w:i w:val="0"/>
          <w:iCs/>
        </w:rPr>
      </w:pPr>
    </w:p>
    <w:p w:rsidR="006F1885" w:rsidRPr="00B02D43" w:rsidRDefault="006F1885" w:rsidP="006F1885">
      <w:pPr>
        <w:pStyle w:val="2"/>
        <w:rPr>
          <w:rFonts w:ascii="Times New Roman" w:eastAsiaTheme="minorEastAsia" w:hAnsi="Times New Roman"/>
          <w:i w:val="0"/>
          <w:iCs w:val="0"/>
        </w:rPr>
      </w:pPr>
      <w:bookmarkStart w:id="2" w:name="_Toc129801820"/>
      <w:r w:rsidRPr="00B02D43">
        <w:rPr>
          <w:rFonts w:ascii="Times New Roman" w:eastAsiaTheme="minorEastAsia" w:hAnsi="Times New Roman"/>
          <w:i w:val="0"/>
          <w:iCs w:val="0"/>
        </w:rPr>
        <w:t>Раздел 1. Управленческий отчет эмитента</w:t>
      </w:r>
      <w:bookmarkEnd w:id="2"/>
    </w:p>
    <w:p w:rsidR="006F1885" w:rsidRPr="00AE65AB" w:rsidRDefault="006F1885" w:rsidP="006F1885">
      <w:pPr>
        <w:pStyle w:val="2"/>
        <w:spacing w:before="0"/>
        <w:rPr>
          <w:rFonts w:ascii="Times New Roman" w:eastAsiaTheme="minorEastAsia" w:hAnsi="Times New Roman"/>
          <w:i w:val="0"/>
          <w:iCs w:val="0"/>
          <w:sz w:val="22"/>
          <w:szCs w:val="22"/>
        </w:rPr>
      </w:pPr>
      <w:bookmarkStart w:id="3" w:name="_Toc129801821"/>
      <w:r w:rsidRPr="00AE65AB">
        <w:rPr>
          <w:rFonts w:ascii="Times New Roman" w:eastAsiaTheme="minorEastAsia" w:hAnsi="Times New Roman"/>
          <w:i w:val="0"/>
          <w:iCs w:val="0"/>
          <w:sz w:val="22"/>
          <w:szCs w:val="22"/>
        </w:rPr>
        <w:t>1.1. Общие сведения об эмитенте и его деятельности</w:t>
      </w:r>
      <w:bookmarkEnd w:id="3"/>
    </w:p>
    <w:p w:rsidR="006F1885" w:rsidRPr="002429E1" w:rsidRDefault="006F1885" w:rsidP="006F1885">
      <w:pPr>
        <w:ind w:firstLine="426"/>
        <w:jc w:val="both"/>
        <w:rPr>
          <w:rFonts w:eastAsiaTheme="minorEastAsia"/>
          <w:i/>
          <w:sz w:val="24"/>
          <w:szCs w:val="24"/>
        </w:rPr>
      </w:pPr>
    </w:p>
    <w:p w:rsidR="006F1885" w:rsidRDefault="006F1885" w:rsidP="006F1885">
      <w:pPr>
        <w:adjustRightInd w:val="0"/>
        <w:ind w:firstLine="426"/>
        <w:jc w:val="both"/>
      </w:pPr>
      <w:r>
        <w:t xml:space="preserve">Полное фирменное наименование эмитента: </w:t>
      </w:r>
      <w:r w:rsidRPr="00AE65AB">
        <w:rPr>
          <w:b/>
        </w:rPr>
        <w:t>Открытое акционерное общество «Сахалинское морское пароходство»</w:t>
      </w:r>
    </w:p>
    <w:p w:rsidR="006F1885" w:rsidRDefault="006F1885" w:rsidP="006F1885">
      <w:pPr>
        <w:adjustRightInd w:val="0"/>
        <w:ind w:firstLine="426"/>
        <w:jc w:val="both"/>
      </w:pPr>
      <w:r>
        <w:t xml:space="preserve">Сокращенное фирменное наименование эмитента: </w:t>
      </w:r>
      <w:r w:rsidRPr="00AE65AB">
        <w:rPr>
          <w:b/>
        </w:rPr>
        <w:t>ОАО «СахМП»</w:t>
      </w:r>
      <w:r>
        <w:t xml:space="preserve"> </w:t>
      </w:r>
    </w:p>
    <w:p w:rsidR="006F1885" w:rsidRDefault="006F1885" w:rsidP="006F1885">
      <w:pPr>
        <w:adjustRightInd w:val="0"/>
        <w:ind w:firstLine="426"/>
        <w:jc w:val="both"/>
        <w:rPr>
          <w:b/>
          <w:bCs/>
        </w:rPr>
      </w:pPr>
      <w:r>
        <w:t>Место нахождения и адрес эмитента</w:t>
      </w:r>
      <w:r w:rsidRPr="00AE65AB">
        <w:t>:</w:t>
      </w:r>
      <w:r w:rsidRPr="00AE65AB">
        <w:rPr>
          <w:b/>
          <w:bCs/>
        </w:rPr>
        <w:t xml:space="preserve"> 694620 Российская Федерация, Сахалинская область, г. Холмск, ул. Победы</w:t>
      </w:r>
      <w:r>
        <w:rPr>
          <w:b/>
          <w:bCs/>
        </w:rPr>
        <w:t>, д.</w:t>
      </w:r>
      <w:r w:rsidRPr="00AE65AB">
        <w:rPr>
          <w:b/>
          <w:bCs/>
        </w:rPr>
        <w:t xml:space="preserve"> 18 корп. А</w:t>
      </w:r>
    </w:p>
    <w:p w:rsidR="006F1885" w:rsidRPr="00AE65AB" w:rsidRDefault="006F1885" w:rsidP="006F1885">
      <w:pPr>
        <w:adjustRightInd w:val="0"/>
        <w:ind w:firstLine="426"/>
        <w:jc w:val="both"/>
      </w:pPr>
    </w:p>
    <w:p w:rsidR="006F1885" w:rsidRDefault="006F1885" w:rsidP="006F1885">
      <w:pPr>
        <w:adjustRightInd w:val="0"/>
        <w:ind w:firstLine="426"/>
        <w:jc w:val="both"/>
        <w:rPr>
          <w:bCs/>
          <w:iCs/>
        </w:rPr>
      </w:pPr>
      <w:r>
        <w:t>Сведения о способе создания эмитента:</w:t>
      </w:r>
      <w:r w:rsidRPr="002429E1">
        <w:rPr>
          <w:rStyle w:val="a9"/>
          <w:bCs/>
          <w:iCs/>
        </w:rPr>
        <w:t xml:space="preserve"> </w:t>
      </w:r>
    </w:p>
    <w:p w:rsidR="006F1885" w:rsidRDefault="006F1885" w:rsidP="006F1885">
      <w:pPr>
        <w:adjustRightInd w:val="0"/>
        <w:ind w:firstLine="426"/>
        <w:jc w:val="both"/>
        <w:rPr>
          <w:rStyle w:val="Subst"/>
          <w:bCs/>
          <w:i w:val="0"/>
          <w:iCs/>
        </w:rPr>
      </w:pPr>
      <w:r w:rsidRPr="00784323">
        <w:rPr>
          <w:rStyle w:val="Subst"/>
          <w:bCs/>
          <w:i w:val="0"/>
          <w:iCs/>
        </w:rPr>
        <w:t>27 октября 1945 года в соответствии с Постановлением Совета народных комиссаров СССР было создано Сахалинское морское пароходство с местом нахождения в г. Холмске Сахалинской области, преобразованное в 1992 г</w:t>
      </w:r>
      <w:r>
        <w:rPr>
          <w:rStyle w:val="Subst"/>
          <w:bCs/>
          <w:i w:val="0"/>
          <w:iCs/>
        </w:rPr>
        <w:t>оду</w:t>
      </w:r>
      <w:r w:rsidRPr="00784323">
        <w:rPr>
          <w:rStyle w:val="Subst"/>
          <w:bCs/>
          <w:i w:val="0"/>
          <w:iCs/>
        </w:rPr>
        <w:t xml:space="preserve"> в акционерное общество открытого типа «Сахалинское морское пароходство». </w:t>
      </w:r>
    </w:p>
    <w:p w:rsidR="006F1885" w:rsidRPr="002429E1" w:rsidRDefault="006F1885" w:rsidP="006F1885">
      <w:pPr>
        <w:adjustRightInd w:val="0"/>
        <w:ind w:firstLine="426"/>
        <w:jc w:val="both"/>
        <w:rPr>
          <w:i/>
        </w:rPr>
      </w:pPr>
      <w:r>
        <w:t xml:space="preserve">Дата создания эмитента: </w:t>
      </w:r>
      <w:r w:rsidRPr="002429E1">
        <w:rPr>
          <w:rStyle w:val="Subst"/>
          <w:bCs/>
          <w:i w:val="0"/>
          <w:iCs/>
        </w:rPr>
        <w:t>18.12.1992</w:t>
      </w:r>
    </w:p>
    <w:p w:rsidR="006F1885" w:rsidRDefault="006F1885" w:rsidP="006F1885">
      <w:pPr>
        <w:adjustRightInd w:val="0"/>
        <w:ind w:firstLine="426"/>
        <w:jc w:val="both"/>
      </w:pPr>
      <w:r>
        <w:t>Сведения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6F1885" w:rsidRDefault="006F1885" w:rsidP="006F1885">
      <w:pPr>
        <w:adjustRightInd w:val="0"/>
        <w:ind w:firstLine="426"/>
        <w:jc w:val="both"/>
        <w:rPr>
          <w:b/>
        </w:rPr>
      </w:pPr>
      <w:r w:rsidRPr="00462DF3">
        <w:rPr>
          <w:b/>
        </w:rPr>
        <w:t>В течение трех последних лет, предшествующих дате окончания отчетного периода, за который составлен отчет эмитента, случаев изменени</w:t>
      </w:r>
      <w:r>
        <w:rPr>
          <w:b/>
        </w:rPr>
        <w:t>я</w:t>
      </w:r>
      <w:r w:rsidRPr="00462DF3">
        <w:rPr>
          <w:b/>
        </w:rPr>
        <w:t xml:space="preserve"> наименования и (или) реорганизации эмитента не имелось.</w:t>
      </w:r>
    </w:p>
    <w:p w:rsidR="006F1885" w:rsidRDefault="006F1885" w:rsidP="006F1885">
      <w:pPr>
        <w:adjustRightInd w:val="0"/>
        <w:ind w:firstLine="426"/>
        <w:jc w:val="both"/>
        <w:rPr>
          <w:b/>
          <w:bCs/>
        </w:rPr>
      </w:pPr>
      <w:r>
        <w:t>ОГРН эмитента:</w:t>
      </w:r>
      <w:r w:rsidRPr="00462DF3">
        <w:rPr>
          <w:rFonts w:eastAsia="Arial Unicode MS"/>
          <w:sz w:val="22"/>
          <w:szCs w:val="22"/>
        </w:rPr>
        <w:t xml:space="preserve"> </w:t>
      </w:r>
      <w:r w:rsidRPr="00462DF3">
        <w:rPr>
          <w:b/>
          <w:bCs/>
        </w:rPr>
        <w:t>1026501017828</w:t>
      </w:r>
    </w:p>
    <w:p w:rsidR="006F1885" w:rsidRPr="00462DF3" w:rsidRDefault="006F1885" w:rsidP="006F1885">
      <w:pPr>
        <w:adjustRightInd w:val="0"/>
        <w:ind w:firstLine="426"/>
        <w:jc w:val="both"/>
        <w:rPr>
          <w:b/>
          <w:bCs/>
        </w:rPr>
      </w:pPr>
      <w:r w:rsidRPr="00462DF3">
        <w:rPr>
          <w:bCs/>
        </w:rPr>
        <w:t>ИНН эмитента:</w:t>
      </w:r>
      <w:r w:rsidRPr="00462DF3">
        <w:rPr>
          <w:b/>
          <w:bCs/>
        </w:rPr>
        <w:t xml:space="preserve"> 6509000854</w:t>
      </w:r>
    </w:p>
    <w:p w:rsidR="006F1885" w:rsidRDefault="006F1885" w:rsidP="006F1885">
      <w:pPr>
        <w:adjustRightInd w:val="0"/>
        <w:ind w:firstLine="426"/>
        <w:jc w:val="both"/>
      </w:pPr>
    </w:p>
    <w:p w:rsidR="006F1885" w:rsidRPr="00784323" w:rsidRDefault="006F1885" w:rsidP="006F1885">
      <w:pPr>
        <w:adjustRightInd w:val="0"/>
        <w:ind w:firstLine="426"/>
        <w:jc w:val="both"/>
      </w:pPr>
      <w:r w:rsidRPr="00784323">
        <w:lastRenderedPageBreak/>
        <w:t xml:space="preserve">Кратко описываются финансово-хозяйственная деятельность, операционные сегменты и география осуществления финансово-хозяйственной деятельности эмитента: </w:t>
      </w:r>
    </w:p>
    <w:p w:rsidR="006F1885" w:rsidRPr="008A3079" w:rsidRDefault="006F1885" w:rsidP="006F1885">
      <w:pPr>
        <w:adjustRightInd w:val="0"/>
        <w:ind w:firstLine="426"/>
        <w:jc w:val="both"/>
        <w:rPr>
          <w:b/>
        </w:rPr>
      </w:pPr>
      <w:r w:rsidRPr="008A3079">
        <w:rPr>
          <w:b/>
        </w:rPr>
        <w:t>Сегодня ОАО «СахМП» является одной из крупнейших судоходных компаний России. Значительная часть каботажных и экспортно-импортных перевозок, осуществляемых морским флотом под российским флагом, приходится на суда Сахалинского морского пароходства. Вот уже много лет SASCO — один из важнейших морских перевозчиков, обеспечивающих жизнедеятельность российских дальневосточных регионов, отделенных морем от основной территории страны. География перевозок Сахалинского морского пароходства охватывает весь российский Дальний Восток, Китай, Южную Корею, другие регионы северной части Азиатско-Тихоокеанского региона, а также трассу Северного морского пути. Сахалинское морское пароходство организует регулярные перевозки по линии Ванино — Холмск, через которую проходит значительная часть важнейших грузов для нужд Сахалинской области. Судами SASCO доставляется основная номенклатура народнохозяйственных грузов также и в Магаданскую область, Камчатский край и Чукотский автономный округ. Флот Сахалинского морского пароходства способен перевозить самый широкий спектр сухих грузов: контейнеры, генеральные, насыпные и навалочные грузы, лес и продукты деревопереработки. Все морские суда полностью соответствуют современным конвенционным требованиям, имеют ледовый класс.</w:t>
      </w:r>
    </w:p>
    <w:p w:rsidR="006F1885" w:rsidRDefault="006F1885" w:rsidP="006F1885">
      <w:pPr>
        <w:adjustRightInd w:val="0"/>
        <w:ind w:firstLine="426"/>
        <w:jc w:val="both"/>
      </w:pPr>
    </w:p>
    <w:p w:rsidR="006F1885" w:rsidRDefault="006F1885" w:rsidP="006F1885">
      <w:pPr>
        <w:adjustRightInd w:val="0"/>
        <w:ind w:firstLine="426"/>
        <w:jc w:val="both"/>
        <w:rPr>
          <w:b/>
        </w:rPr>
      </w:pPr>
      <w:r>
        <w:t xml:space="preserve">Иные ограничения, связанные с участием в уставном капитале эмитента, установленные его уставом: </w:t>
      </w:r>
      <w:r w:rsidRPr="00085020">
        <w:rPr>
          <w:b/>
        </w:rPr>
        <w:t>отсутствуют.</w:t>
      </w:r>
    </w:p>
    <w:p w:rsidR="006F1885" w:rsidRPr="00CE634E" w:rsidRDefault="006F1885" w:rsidP="006F1885">
      <w:pPr>
        <w:adjustRightInd w:val="0"/>
        <w:ind w:firstLine="426"/>
        <w:jc w:val="both"/>
        <w:rPr>
          <w:b/>
        </w:rPr>
      </w:pPr>
      <w:r>
        <w:t xml:space="preserve">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w:t>
      </w:r>
      <w:r w:rsidRPr="00CE634E">
        <w:rPr>
          <w:b/>
        </w:rPr>
        <w:t>не имеется.</w:t>
      </w:r>
    </w:p>
    <w:p w:rsidR="006F1885" w:rsidRDefault="006F1885" w:rsidP="006F1885">
      <w:pPr>
        <w:jc w:val="both"/>
      </w:pPr>
    </w:p>
    <w:p w:rsidR="006F1885" w:rsidRPr="00461D0D" w:rsidRDefault="006F1885" w:rsidP="006F1885">
      <w:pPr>
        <w:pStyle w:val="2"/>
        <w:rPr>
          <w:rFonts w:ascii="Times New Roman" w:eastAsiaTheme="minorEastAsia" w:hAnsi="Times New Roman"/>
          <w:i w:val="0"/>
          <w:iCs w:val="0"/>
          <w:sz w:val="22"/>
          <w:szCs w:val="22"/>
        </w:rPr>
      </w:pPr>
      <w:bookmarkStart w:id="4" w:name="_Toc129801822"/>
      <w:r w:rsidRPr="00461D0D">
        <w:rPr>
          <w:rFonts w:ascii="Times New Roman" w:eastAsiaTheme="minorEastAsia" w:hAnsi="Times New Roman"/>
          <w:i w:val="0"/>
          <w:iCs w:val="0"/>
          <w:sz w:val="22"/>
          <w:szCs w:val="22"/>
        </w:rPr>
        <w:t>1.2. Сведения о положении эмитента в отрасли</w:t>
      </w:r>
      <w:bookmarkEnd w:id="4"/>
    </w:p>
    <w:p w:rsidR="006F1885" w:rsidRPr="00FC647E" w:rsidRDefault="006F1885" w:rsidP="006F1885">
      <w:pPr>
        <w:widowControl w:val="0"/>
        <w:adjustRightInd w:val="0"/>
        <w:ind w:right="-2" w:firstLine="426"/>
        <w:jc w:val="both"/>
      </w:pPr>
      <w:r w:rsidRPr="00FC647E">
        <w:t xml:space="preserve">По данным Федерального агентства государственной статистики объемы отправки грузов морским транспортом за 2022 г. составили </w:t>
      </w:r>
      <w:r w:rsidRPr="00EA370E">
        <w:t>28178,4</w:t>
      </w:r>
      <w:r w:rsidRPr="00FC647E">
        <w:t xml:space="preserve"> тысяч тонн (рост к уровню предыдущего аналогичного периода на 4738,8 тысяч тонн или на 20,22%). По данным Федерального агентства морского и речного транспорта, грузооборот морских портов России по итогам 2022 года увеличился по сравнению с аналогичным периодом прошлого года на 0,7%, до 841,5 млн тонн, в т.ч. объем перевалки сухогрузов составил 404,7 млн т (снижение к предыдущему аналогичному периоду -2%), по наливным грузам – 436,8 млн т (рост по сравнению с результатами 2021 года 3,4%).</w:t>
      </w:r>
    </w:p>
    <w:p w:rsidR="006F1885" w:rsidRPr="00FC647E" w:rsidRDefault="006F1885" w:rsidP="006F1885">
      <w:pPr>
        <w:widowControl w:val="0"/>
        <w:adjustRightInd w:val="0"/>
        <w:ind w:right="-2" w:firstLine="426"/>
        <w:jc w:val="both"/>
      </w:pPr>
      <w:r w:rsidRPr="00FC647E">
        <w:t> Грузооборот морских портов Дальневосточного бассейна составил 227,8 млн т (+1,5%), из них объём перевалки сухих грузов составил 154,0 млн т (+3,5%), наливных грузов – 73,8 млн т (-2,3%). Грузооборот портов Восточный составил 82,3 млн т (+5,9%), Ванино – 37,6 млн т +6,4%), Владивосток – 32,2 млн т (+8,9%), Находка –25,8 млн т (-4,1%), Пригородное – 15,4 млн т (+6,3%).</w:t>
      </w:r>
    </w:p>
    <w:p w:rsidR="006F1885" w:rsidRPr="00FC647E" w:rsidRDefault="006F1885" w:rsidP="006F1885">
      <w:pPr>
        <w:widowControl w:val="0"/>
        <w:adjustRightInd w:val="0"/>
        <w:ind w:right="-2"/>
        <w:jc w:val="both"/>
      </w:pPr>
      <w:r w:rsidRPr="00FC647E">
        <w:t xml:space="preserve">Основными российскими конкурентами эмитента являются </w:t>
      </w:r>
      <w:r>
        <w:t>П</w:t>
      </w:r>
      <w:r w:rsidRPr="00FC647E">
        <w:t xml:space="preserve">АО «Дальневосточное морское пароходство» (осуществляет регулярные перевозки между портами Камчатского и Приморского краев, Магаданской и Сахалинской области, Чукотского автономного округа, а также Китайской Народной Республики, Республики Корея и Японии), ООО «Камчатское морское пароходство» (осуществляет регулярные перевозки между портами Камчатского и Приморского краев). </w:t>
      </w:r>
    </w:p>
    <w:p w:rsidR="006F1885" w:rsidRPr="00FC647E" w:rsidRDefault="006F1885" w:rsidP="006F1885">
      <w:pPr>
        <w:widowControl w:val="0"/>
        <w:adjustRightInd w:val="0"/>
        <w:ind w:right="-2"/>
        <w:jc w:val="both"/>
      </w:pPr>
      <w:r w:rsidRPr="00FC647E">
        <w:t>В прошедшем году ощутимый удар по грузообороту российских портов нанес отказ крупнейших морских перевозчиков работать с Россией. </w:t>
      </w:r>
    </w:p>
    <w:p w:rsidR="006F1885" w:rsidRPr="00FC647E" w:rsidRDefault="006F1885" w:rsidP="006F1885">
      <w:pPr>
        <w:widowControl w:val="0"/>
        <w:adjustRightInd w:val="0"/>
        <w:ind w:right="-2"/>
        <w:jc w:val="both"/>
      </w:pPr>
      <w:r w:rsidRPr="00FC647E">
        <w:t>Произошло перераспределение грузопотока. Так, например, один из ключевых портов СПБ значительно упал в показателях по перевалке контейнерных грузов. За первое полугодие контейнерооборот портов Балтийского бассейна снизился на 39% по сравнению с 2021 г., произошла переориентация на порты Дальнего Востока и Новороссийска.</w:t>
      </w:r>
    </w:p>
    <w:p w:rsidR="006F1885" w:rsidRPr="00FC647E" w:rsidRDefault="006F1885" w:rsidP="006F1885">
      <w:pPr>
        <w:widowControl w:val="0"/>
        <w:adjustRightInd w:val="0"/>
        <w:ind w:right="-2"/>
        <w:jc w:val="both"/>
      </w:pPr>
      <w:r w:rsidRPr="00FC647E">
        <w:t>Появились и продолжают появляться новые частные судоходные компании, обслуживающие порты Китая и Дальнего Востока, Индии, Вьетнама, Голландии, ОАЭ и др.</w:t>
      </w:r>
    </w:p>
    <w:p w:rsidR="006F1885" w:rsidRPr="00FC647E" w:rsidRDefault="006F1885" w:rsidP="006F1885">
      <w:pPr>
        <w:widowControl w:val="0"/>
        <w:adjustRightInd w:val="0"/>
        <w:ind w:right="-2" w:firstLine="426"/>
        <w:jc w:val="both"/>
      </w:pPr>
      <w:r w:rsidRPr="00FC647E">
        <w:t>После исхода глобальных морских перевозчиков лидирующее положение заняли перевозчики Феско и Синокор. Они покрывают наибольшую на сегодня географию в Юго-восточной Азии для России.  С большой скоростью растет число небольших частных перевозчиков, которые курсируют между портами Китая и Владивостоком. Появились новые имена: SITC, ZHONGGU, GANG TONG, Huaxin и др.).</w:t>
      </w:r>
    </w:p>
    <w:p w:rsidR="006F1885" w:rsidRPr="00FC647E" w:rsidRDefault="006F1885" w:rsidP="006F1885">
      <w:pPr>
        <w:widowControl w:val="0"/>
        <w:adjustRightInd w:val="0"/>
        <w:ind w:right="-2" w:firstLine="426"/>
        <w:jc w:val="both"/>
      </w:pPr>
      <w:r w:rsidRPr="00FC647E">
        <w:t xml:space="preserve"> Предполагаемые конкуренты эмитента на внутреннем рынке в настоящий момент отсутствуют. Предполагаемыми конкурентами эмитента на внешнем рынке могут стать крупнейшие мировые операторы регулярных контейнерных линий, которые могут включить в ротацию своих регулярных линий те порты, через которые осуществляется основная деятельность эмитента, однако вероятность появления подобной конкуренции незначительна в связи с текущей геополитической ситуацией, а также, в связи с разной специализацией эмитента (фидерный перевозчик малых партий контейнеров) и указанных потенциальных конкурентов (мэйджор-перевозчики крупных партий контейнеров) и отсутствием на данном сегменте рынка достаточного уровня спроса для осуществления перевозок контейнеров крупными партиями. </w:t>
      </w:r>
    </w:p>
    <w:p w:rsidR="006F1885" w:rsidRPr="00FC647E" w:rsidRDefault="006F1885" w:rsidP="006F1885">
      <w:pPr>
        <w:widowControl w:val="0"/>
        <w:adjustRightInd w:val="0"/>
        <w:ind w:right="-2" w:firstLine="426"/>
        <w:jc w:val="both"/>
      </w:pPr>
      <w:r w:rsidRPr="00FC647E">
        <w:t>Факторами конкурентоспособности эмитента являются:</w:t>
      </w:r>
    </w:p>
    <w:p w:rsidR="006F1885" w:rsidRPr="00FC647E" w:rsidRDefault="006F1885" w:rsidP="006F1885">
      <w:pPr>
        <w:widowControl w:val="0"/>
        <w:adjustRightInd w:val="0"/>
        <w:ind w:right="-2"/>
        <w:jc w:val="both"/>
      </w:pPr>
      <w:r w:rsidRPr="00FC647E">
        <w:t>Позитивные:</w:t>
      </w:r>
      <w:r w:rsidRPr="00FC647E">
        <w:br/>
        <w:t xml:space="preserve">- наличие в составе флота эмитента судов ледового класса (данный фактор является существенным при </w:t>
      </w:r>
      <w:r w:rsidRPr="00FC647E">
        <w:lastRenderedPageBreak/>
        <w:t>осуществлении перевозок через порты Магаданской и Сахалинской областей и Чукотского автономного округа);</w:t>
      </w:r>
      <w:r w:rsidRPr="00FC647E">
        <w:br/>
        <w:t>- широкий ассортимент типов судов (флот эмитента включает в себя универсальные, накатные, насыпные и контейнерные суда в примерно равных группировках; данный фактор является существенным для всех этих направлений).</w:t>
      </w:r>
      <w:r w:rsidRPr="00FC647E">
        <w:rPr>
          <w:rFonts w:ascii="Arial-Regular" w:hAnsi="Arial-Regular"/>
          <w:color w:val="101010"/>
          <w:shd w:val="clear" w:color="auto" w:fill="FFFFFF"/>
        </w:rPr>
        <w:t xml:space="preserve"> </w:t>
      </w:r>
      <w:r w:rsidRPr="00FC647E">
        <w:t>Разнообразие типов судов позволяет ОАО «СахМП» предложить каждому клиенту наиболее эффективную технологию перевозки самых разнообразных грузов - больших судовых партий насыпных или навалочных грузов, небольших объемов грузов в контейнерах (в том числе рефрижераторных), мультимодальные перевозки грузов, следовавших по суше повагонными партиями или ролкерными отправками;</w:t>
      </w:r>
    </w:p>
    <w:p w:rsidR="006F1885" w:rsidRPr="00FC647E" w:rsidRDefault="006F1885" w:rsidP="006F1885">
      <w:pPr>
        <w:widowControl w:val="0"/>
        <w:adjustRightInd w:val="0"/>
        <w:ind w:right="-2"/>
        <w:jc w:val="both"/>
      </w:pPr>
      <w:r w:rsidRPr="00FC647E">
        <w:t>- развитая разветвленная сеть регулярных линий (эмитент обслуживает пять регулярных линий, объединяющих практически все прибрежные регионы Дальневосточного федерального округа и порты ближайших зарубежных стран (Китай, Корея) с наличием механизма стыковки указанных линий между собой; данный фактор является существенным для всех этих направлений);</w:t>
      </w:r>
    </w:p>
    <w:p w:rsidR="006F1885" w:rsidRPr="00FC647E" w:rsidRDefault="006F1885" w:rsidP="006F1885">
      <w:pPr>
        <w:widowControl w:val="0"/>
        <w:adjustRightInd w:val="0"/>
        <w:ind w:right="-2"/>
        <w:jc w:val="both"/>
      </w:pPr>
      <w:r w:rsidRPr="00FC647E">
        <w:t>- постоянно проводимая работа по обновлению флота.</w:t>
      </w:r>
    </w:p>
    <w:p w:rsidR="006F1885" w:rsidRPr="00FC647E" w:rsidRDefault="006F1885" w:rsidP="006F1885">
      <w:pPr>
        <w:widowControl w:val="0"/>
        <w:adjustRightInd w:val="0"/>
        <w:ind w:right="-2"/>
        <w:jc w:val="both"/>
      </w:pPr>
    </w:p>
    <w:p w:rsidR="006F1885" w:rsidRPr="00FC647E" w:rsidRDefault="006F1885" w:rsidP="006F1885">
      <w:pPr>
        <w:widowControl w:val="0"/>
        <w:adjustRightInd w:val="0"/>
        <w:ind w:right="-2"/>
        <w:jc w:val="both"/>
      </w:pPr>
      <w:r w:rsidRPr="00FC647E">
        <w:t>Негативные:- агрессивная фрахтовая демпинговая политика со стороны конкурентов.</w:t>
      </w:r>
    </w:p>
    <w:p w:rsidR="006F1885" w:rsidRDefault="006F1885" w:rsidP="006F1885">
      <w:pPr>
        <w:jc w:val="both"/>
        <w:rPr>
          <w:rStyle w:val="Subst"/>
          <w:bCs/>
          <w:i w:val="0"/>
          <w:iCs/>
        </w:rPr>
      </w:pPr>
    </w:p>
    <w:p w:rsidR="006F1885" w:rsidRPr="00461D0D" w:rsidRDefault="006F1885" w:rsidP="006F1885">
      <w:pPr>
        <w:pStyle w:val="2"/>
        <w:rPr>
          <w:rFonts w:ascii="Times New Roman" w:eastAsiaTheme="minorEastAsia" w:hAnsi="Times New Roman"/>
          <w:i w:val="0"/>
          <w:iCs w:val="0"/>
          <w:sz w:val="22"/>
          <w:szCs w:val="22"/>
        </w:rPr>
      </w:pPr>
      <w:bookmarkStart w:id="5" w:name="_Toc129801823"/>
      <w:r w:rsidRPr="00461D0D">
        <w:rPr>
          <w:rFonts w:ascii="Times New Roman" w:eastAsiaTheme="minorEastAsia" w:hAnsi="Times New Roman"/>
          <w:i w:val="0"/>
          <w:iCs w:val="0"/>
          <w:sz w:val="22"/>
          <w:szCs w:val="22"/>
        </w:rPr>
        <w:t>1.3. Основные операционные показатели, характеризующие деятельность эмитента</w:t>
      </w:r>
      <w:bookmarkEnd w:id="5"/>
    </w:p>
    <w:p w:rsidR="006F1885" w:rsidRPr="00A333DA" w:rsidRDefault="006F1885" w:rsidP="006F1885">
      <w:pPr>
        <w:adjustRightInd w:val="0"/>
        <w:jc w:val="both"/>
        <w:outlineLvl w:val="0"/>
        <w:rPr>
          <w:b/>
          <w:bCs/>
        </w:rPr>
      </w:pPr>
    </w:p>
    <w:p w:rsidR="006F1885" w:rsidRDefault="006F1885" w:rsidP="006F1885">
      <w:pPr>
        <w:ind w:firstLine="426"/>
        <w:jc w:val="both"/>
        <w:rPr>
          <w:rStyle w:val="Subst"/>
          <w:b w:val="0"/>
          <w:bCs/>
          <w:i w:val="0"/>
          <w:iCs/>
        </w:rPr>
      </w:pPr>
      <w:r w:rsidRPr="00F77369">
        <w:rPr>
          <w:rStyle w:val="Subst"/>
          <w:b w:val="0"/>
          <w:bCs/>
          <w:i w:val="0"/>
          <w:iCs/>
        </w:rPr>
        <w:t>Основн</w:t>
      </w:r>
      <w:r>
        <w:rPr>
          <w:rStyle w:val="Subst"/>
          <w:b w:val="0"/>
          <w:bCs/>
          <w:i w:val="0"/>
          <w:iCs/>
        </w:rPr>
        <w:t>ым видом</w:t>
      </w:r>
      <w:r w:rsidRPr="00F77369">
        <w:rPr>
          <w:rStyle w:val="Subst"/>
          <w:b w:val="0"/>
          <w:bCs/>
          <w:i w:val="0"/>
          <w:iCs/>
        </w:rPr>
        <w:t xml:space="preserve"> деятельност</w:t>
      </w:r>
      <w:r>
        <w:rPr>
          <w:rStyle w:val="Subst"/>
          <w:b w:val="0"/>
          <w:bCs/>
          <w:i w:val="0"/>
          <w:iCs/>
        </w:rPr>
        <w:t>и</w:t>
      </w:r>
      <w:r w:rsidRPr="00F77369">
        <w:rPr>
          <w:rStyle w:val="Subst"/>
          <w:b w:val="0"/>
          <w:bCs/>
          <w:i w:val="0"/>
          <w:iCs/>
        </w:rPr>
        <w:t xml:space="preserve"> </w:t>
      </w:r>
      <w:r>
        <w:rPr>
          <w:rStyle w:val="Subst"/>
          <w:b w:val="0"/>
          <w:bCs/>
          <w:i w:val="0"/>
          <w:iCs/>
        </w:rPr>
        <w:t>Эмитента</w:t>
      </w:r>
      <w:r w:rsidRPr="00F77369">
        <w:rPr>
          <w:rStyle w:val="Subst"/>
          <w:b w:val="0"/>
          <w:bCs/>
          <w:i w:val="0"/>
          <w:iCs/>
        </w:rPr>
        <w:t xml:space="preserve"> является </w:t>
      </w:r>
      <w:r>
        <w:rPr>
          <w:rStyle w:val="Subst"/>
          <w:b w:val="0"/>
          <w:bCs/>
          <w:i w:val="0"/>
          <w:iCs/>
        </w:rPr>
        <w:t>осуществл</w:t>
      </w:r>
      <w:r w:rsidRPr="00F77369">
        <w:rPr>
          <w:rStyle w:val="Subst"/>
          <w:b w:val="0"/>
          <w:bCs/>
          <w:i w:val="0"/>
          <w:iCs/>
        </w:rPr>
        <w:t>ение перевозок грузов и пассажиров мор</w:t>
      </w:r>
      <w:r>
        <w:rPr>
          <w:rStyle w:val="Subst"/>
          <w:b w:val="0"/>
          <w:bCs/>
          <w:i w:val="0"/>
          <w:iCs/>
        </w:rPr>
        <w:t>ским транспортом</w:t>
      </w:r>
      <w:r w:rsidRPr="00F77369">
        <w:rPr>
          <w:rStyle w:val="Subst"/>
          <w:b w:val="0"/>
          <w:bCs/>
          <w:i w:val="0"/>
          <w:iCs/>
        </w:rPr>
        <w:t>. В отчетном 202</w:t>
      </w:r>
      <w:r>
        <w:rPr>
          <w:rStyle w:val="Subst"/>
          <w:b w:val="0"/>
          <w:bCs/>
          <w:i w:val="0"/>
          <w:iCs/>
        </w:rPr>
        <w:t>2</w:t>
      </w:r>
      <w:r w:rsidRPr="00F77369">
        <w:rPr>
          <w:rStyle w:val="Subst"/>
          <w:b w:val="0"/>
          <w:bCs/>
          <w:i w:val="0"/>
          <w:iCs/>
        </w:rPr>
        <w:t xml:space="preserve"> году основными направлениями деятельности </w:t>
      </w:r>
      <w:r>
        <w:rPr>
          <w:rStyle w:val="Subst"/>
          <w:b w:val="0"/>
          <w:bCs/>
          <w:i w:val="0"/>
          <w:iCs/>
        </w:rPr>
        <w:t>Эмитента</w:t>
      </w:r>
      <w:r w:rsidRPr="00F77369">
        <w:rPr>
          <w:rStyle w:val="Subst"/>
          <w:b w:val="0"/>
          <w:bCs/>
          <w:i w:val="0"/>
          <w:iCs/>
        </w:rPr>
        <w:t xml:space="preserve"> </w:t>
      </w:r>
      <w:r>
        <w:rPr>
          <w:rStyle w:val="Subst"/>
          <w:b w:val="0"/>
          <w:bCs/>
          <w:i w:val="0"/>
          <w:iCs/>
        </w:rPr>
        <w:t>являлись</w:t>
      </w:r>
      <w:r w:rsidRPr="00F77369">
        <w:rPr>
          <w:rStyle w:val="Subst"/>
          <w:b w:val="0"/>
          <w:bCs/>
          <w:i w:val="0"/>
          <w:iCs/>
        </w:rPr>
        <w:t>:</w:t>
      </w:r>
    </w:p>
    <w:p w:rsidR="006F1885" w:rsidRPr="00F77369" w:rsidRDefault="006F1885" w:rsidP="006F1885">
      <w:pPr>
        <w:widowControl w:val="0"/>
        <w:autoSpaceDE/>
        <w:autoSpaceDN/>
        <w:jc w:val="both"/>
        <w:rPr>
          <w:rStyle w:val="Subst"/>
          <w:b w:val="0"/>
          <w:bCs/>
          <w:i w:val="0"/>
          <w:iCs/>
        </w:rPr>
      </w:pPr>
      <w:r>
        <w:rPr>
          <w:rStyle w:val="Subst"/>
          <w:b w:val="0"/>
          <w:bCs/>
          <w:i w:val="0"/>
          <w:iCs/>
        </w:rPr>
        <w:t>- п</w:t>
      </w:r>
      <w:r w:rsidRPr="00F77369">
        <w:rPr>
          <w:rStyle w:val="Subst"/>
          <w:b w:val="0"/>
          <w:bCs/>
          <w:i w:val="0"/>
          <w:iCs/>
        </w:rPr>
        <w:t>еревозки грузов в каботажном плавании на направлениях: Владивосток-Корсаков, Магадан, Петропавловс</w:t>
      </w:r>
      <w:r>
        <w:rPr>
          <w:rStyle w:val="Subst"/>
          <w:b w:val="0"/>
          <w:bCs/>
          <w:i w:val="0"/>
          <w:iCs/>
        </w:rPr>
        <w:t>к-Камчатский, порт Восточный;</w:t>
      </w:r>
    </w:p>
    <w:p w:rsidR="006F1885" w:rsidRPr="00F77369" w:rsidRDefault="006F1885" w:rsidP="006F1885">
      <w:pPr>
        <w:widowControl w:val="0"/>
        <w:autoSpaceDE/>
        <w:autoSpaceDN/>
        <w:jc w:val="both"/>
        <w:rPr>
          <w:rStyle w:val="Subst"/>
          <w:b w:val="0"/>
          <w:bCs/>
          <w:i w:val="0"/>
          <w:iCs/>
        </w:rPr>
      </w:pPr>
      <w:r>
        <w:rPr>
          <w:rStyle w:val="Subst"/>
          <w:b w:val="0"/>
          <w:bCs/>
          <w:i w:val="0"/>
          <w:iCs/>
        </w:rPr>
        <w:t>- п</w:t>
      </w:r>
      <w:r w:rsidRPr="00F77369">
        <w:rPr>
          <w:rStyle w:val="Subst"/>
          <w:b w:val="0"/>
          <w:bCs/>
          <w:i w:val="0"/>
          <w:iCs/>
        </w:rPr>
        <w:t>еревозки грузов в заграничном плавании на направлениях:</w:t>
      </w:r>
      <w:r>
        <w:rPr>
          <w:rStyle w:val="Subst"/>
          <w:b w:val="0"/>
          <w:bCs/>
          <w:i w:val="0"/>
          <w:iCs/>
        </w:rPr>
        <w:t xml:space="preserve"> </w:t>
      </w:r>
      <w:r w:rsidRPr="00F77369">
        <w:rPr>
          <w:rStyle w:val="Subst"/>
          <w:b w:val="0"/>
          <w:bCs/>
          <w:i w:val="0"/>
          <w:iCs/>
        </w:rPr>
        <w:t>Шанхай – Нинбо – Владивосток;</w:t>
      </w:r>
      <w:r>
        <w:rPr>
          <w:rStyle w:val="Subst"/>
          <w:b w:val="0"/>
          <w:bCs/>
          <w:i w:val="0"/>
          <w:iCs/>
        </w:rPr>
        <w:t xml:space="preserve"> </w:t>
      </w:r>
      <w:r w:rsidRPr="00F77369">
        <w:rPr>
          <w:rStyle w:val="Subst"/>
          <w:b w:val="0"/>
          <w:bCs/>
          <w:i w:val="0"/>
          <w:iCs/>
        </w:rPr>
        <w:t>Холмск, Корсаков - порты Китая, Кореи; Пусан</w:t>
      </w:r>
      <w:r>
        <w:rPr>
          <w:rStyle w:val="Subst"/>
          <w:b w:val="0"/>
          <w:bCs/>
          <w:i w:val="0"/>
          <w:iCs/>
        </w:rPr>
        <w:t xml:space="preserve"> </w:t>
      </w:r>
      <w:r w:rsidRPr="00F77369">
        <w:rPr>
          <w:rStyle w:val="Subst"/>
          <w:b w:val="0"/>
          <w:bCs/>
          <w:i w:val="0"/>
          <w:iCs/>
        </w:rPr>
        <w:t>-</w:t>
      </w:r>
      <w:r>
        <w:rPr>
          <w:rStyle w:val="Subst"/>
          <w:b w:val="0"/>
          <w:bCs/>
          <w:i w:val="0"/>
          <w:iCs/>
        </w:rPr>
        <w:t xml:space="preserve"> Корсаков, порт Владивосток;</w:t>
      </w:r>
    </w:p>
    <w:p w:rsidR="006F1885" w:rsidRPr="00F77369" w:rsidRDefault="006F1885" w:rsidP="006F1885">
      <w:pPr>
        <w:widowControl w:val="0"/>
        <w:autoSpaceDE/>
        <w:autoSpaceDN/>
        <w:jc w:val="both"/>
        <w:rPr>
          <w:rStyle w:val="Subst"/>
          <w:b w:val="0"/>
          <w:bCs/>
          <w:i w:val="0"/>
          <w:iCs/>
        </w:rPr>
      </w:pPr>
      <w:r>
        <w:rPr>
          <w:rStyle w:val="Subst"/>
          <w:b w:val="0"/>
          <w:bCs/>
          <w:i w:val="0"/>
          <w:iCs/>
        </w:rPr>
        <w:t>- п</w:t>
      </w:r>
      <w:r w:rsidRPr="00F77369">
        <w:rPr>
          <w:rStyle w:val="Subst"/>
          <w:b w:val="0"/>
          <w:bCs/>
          <w:i w:val="0"/>
          <w:iCs/>
        </w:rPr>
        <w:t>еревозк</w:t>
      </w:r>
      <w:r>
        <w:rPr>
          <w:rStyle w:val="Subst"/>
          <w:b w:val="0"/>
          <w:bCs/>
          <w:i w:val="0"/>
          <w:iCs/>
        </w:rPr>
        <w:t>и</w:t>
      </w:r>
      <w:r w:rsidRPr="00F77369">
        <w:rPr>
          <w:rStyle w:val="Subst"/>
          <w:b w:val="0"/>
          <w:bCs/>
          <w:i w:val="0"/>
          <w:iCs/>
        </w:rPr>
        <w:t xml:space="preserve"> грузов и пассажиров морскими железнодорожными паромами типа «Сахалин» на линии Ванино-Холмск-Ванино.</w:t>
      </w:r>
    </w:p>
    <w:p w:rsidR="006F1885" w:rsidRDefault="006F1885" w:rsidP="006F1885">
      <w:pPr>
        <w:ind w:firstLine="426"/>
        <w:jc w:val="both"/>
        <w:rPr>
          <w:rStyle w:val="Subst"/>
          <w:b w:val="0"/>
          <w:bCs/>
          <w:i w:val="0"/>
          <w:iCs/>
        </w:rPr>
      </w:pPr>
    </w:p>
    <w:p w:rsidR="006F1885" w:rsidRDefault="006F1885" w:rsidP="006F1885">
      <w:pPr>
        <w:ind w:firstLine="426"/>
        <w:jc w:val="both"/>
        <w:rPr>
          <w:rStyle w:val="Subst"/>
          <w:b w:val="0"/>
          <w:bCs/>
          <w:i w:val="0"/>
          <w:iCs/>
        </w:rPr>
      </w:pPr>
      <w:r w:rsidRPr="00F77369">
        <w:rPr>
          <w:rStyle w:val="Subst"/>
          <w:b w:val="0"/>
          <w:bCs/>
          <w:i w:val="0"/>
          <w:iCs/>
        </w:rPr>
        <w:t xml:space="preserve">Основные операционные показатели деятельности Общества характеризуется следующими данными: </w:t>
      </w:r>
    </w:p>
    <w:p w:rsidR="006F1885" w:rsidRPr="00E4526D" w:rsidRDefault="006F1885" w:rsidP="006F1885">
      <w:pPr>
        <w:rPr>
          <w:sz w:val="24"/>
          <w:szCs w:val="24"/>
        </w:rPr>
      </w:pPr>
      <w:r>
        <w:rPr>
          <w:noProof/>
        </w:rPr>
        <w:drawing>
          <wp:inline distT="0" distB="0" distL="0" distR="0" wp14:anchorId="5D8C1798" wp14:editId="6271FB02">
            <wp:extent cx="5935980" cy="1173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5980" cy="1173480"/>
                    </a:xfrm>
                    <a:prstGeom prst="rect">
                      <a:avLst/>
                    </a:prstGeom>
                    <a:noFill/>
                    <a:ln w="9525">
                      <a:noFill/>
                      <a:miter lim="800000"/>
                      <a:headEnd/>
                      <a:tailEnd/>
                    </a:ln>
                  </pic:spPr>
                </pic:pic>
              </a:graphicData>
            </a:graphic>
          </wp:inline>
        </w:drawing>
      </w:r>
    </w:p>
    <w:p w:rsidR="006F1885" w:rsidRDefault="006F1885" w:rsidP="006F1885">
      <w:pPr>
        <w:ind w:firstLine="426"/>
        <w:jc w:val="both"/>
        <w:rPr>
          <w:rStyle w:val="Subst"/>
          <w:b w:val="0"/>
          <w:bCs/>
          <w:i w:val="0"/>
          <w:iCs/>
        </w:rPr>
      </w:pPr>
    </w:p>
    <w:p w:rsidR="006F1885" w:rsidRPr="00F77369" w:rsidRDefault="006F1885" w:rsidP="006F1885">
      <w:pPr>
        <w:ind w:firstLine="426"/>
        <w:jc w:val="both"/>
        <w:rPr>
          <w:rStyle w:val="Subst"/>
          <w:b w:val="0"/>
          <w:bCs/>
          <w:i w:val="0"/>
          <w:iCs/>
        </w:rPr>
      </w:pPr>
      <w:r w:rsidRPr="00F77369">
        <w:rPr>
          <w:rStyle w:val="Subst"/>
          <w:b w:val="0"/>
          <w:bCs/>
          <w:i w:val="0"/>
          <w:iCs/>
        </w:rPr>
        <w:t xml:space="preserve">Общество осуществляет перевозку грузов с использованием крупнотоннажных контейнеров международного стандарта грузоподъемностью 20’, 40’ тонн. Развиваются перевозки грузов в крупнотоннажных контейнерах на каботажных направлениях: Владивосток-Корсаков, Владивосток-Магадан; заграничном направлении: Китай-Владивосток; Сахалин-Корея. Для организации отдельных перевозок грузов Общество также сдавало суда в аренду по договорам тайм-чартера. </w:t>
      </w:r>
    </w:p>
    <w:p w:rsidR="006F1885" w:rsidRPr="00F77369" w:rsidRDefault="006F1885" w:rsidP="006F1885">
      <w:pPr>
        <w:ind w:firstLine="426"/>
        <w:jc w:val="both"/>
        <w:rPr>
          <w:rStyle w:val="Subst"/>
          <w:b w:val="0"/>
          <w:bCs/>
          <w:i w:val="0"/>
          <w:iCs/>
        </w:rPr>
      </w:pPr>
      <w:r w:rsidRPr="00F77369">
        <w:rPr>
          <w:rStyle w:val="Subst"/>
          <w:b w:val="0"/>
          <w:bCs/>
          <w:i w:val="0"/>
          <w:iCs/>
        </w:rPr>
        <w:t xml:space="preserve">На линии «Ванино-Холмск» работают морские железнодорожные паромы типа «Сахалин», оборудованные пассажирскими местами и вмещающие 26 условных единиц железнодорожных вагонов. </w:t>
      </w:r>
    </w:p>
    <w:p w:rsidR="006F1885" w:rsidRPr="00F77369" w:rsidRDefault="006F1885" w:rsidP="006F1885">
      <w:pPr>
        <w:ind w:firstLine="426"/>
        <w:jc w:val="both"/>
        <w:rPr>
          <w:rStyle w:val="Subst"/>
          <w:b w:val="0"/>
          <w:bCs/>
          <w:i w:val="0"/>
          <w:iCs/>
        </w:rPr>
      </w:pPr>
      <w:r w:rsidRPr="00F77369">
        <w:rPr>
          <w:rStyle w:val="Subst"/>
          <w:b w:val="0"/>
          <w:bCs/>
          <w:i w:val="0"/>
          <w:iCs/>
        </w:rPr>
        <w:t xml:space="preserve">Перевозка грузов паромами типа «Сахалин» позволяет значительно сократить сроки доставки, улучшить их сохранность и снизить затраты на погрузо-разгрузочных работах. </w:t>
      </w:r>
      <w:r>
        <w:rPr>
          <w:rStyle w:val="Subst"/>
          <w:b w:val="0"/>
          <w:bCs/>
          <w:i w:val="0"/>
          <w:iCs/>
        </w:rPr>
        <w:t>П</w:t>
      </w:r>
      <w:r w:rsidRPr="00F77369">
        <w:rPr>
          <w:rStyle w:val="Subst"/>
          <w:b w:val="0"/>
          <w:bCs/>
          <w:i w:val="0"/>
          <w:iCs/>
        </w:rPr>
        <w:t>аром</w:t>
      </w:r>
      <w:r>
        <w:rPr>
          <w:rStyle w:val="Subst"/>
          <w:b w:val="0"/>
          <w:bCs/>
          <w:i w:val="0"/>
          <w:iCs/>
        </w:rPr>
        <w:t>ная линия приносит 21% всей выручки</w:t>
      </w:r>
      <w:r w:rsidRPr="00F77369">
        <w:rPr>
          <w:rStyle w:val="Subst"/>
          <w:b w:val="0"/>
          <w:bCs/>
          <w:i w:val="0"/>
          <w:iCs/>
        </w:rPr>
        <w:t xml:space="preserve">. </w:t>
      </w:r>
    </w:p>
    <w:p w:rsidR="006F1885" w:rsidRPr="00C9734D" w:rsidRDefault="006F1885" w:rsidP="006F1885">
      <w:pPr>
        <w:ind w:firstLine="426"/>
        <w:jc w:val="both"/>
      </w:pPr>
      <w:r w:rsidRPr="00F77369">
        <w:rPr>
          <w:rStyle w:val="Subst"/>
          <w:b w:val="0"/>
          <w:bCs/>
          <w:i w:val="0"/>
          <w:iCs/>
        </w:rPr>
        <w:t>По состоянию на 31.12.202</w:t>
      </w:r>
      <w:r>
        <w:rPr>
          <w:rStyle w:val="Subst"/>
          <w:b w:val="0"/>
          <w:bCs/>
          <w:i w:val="0"/>
          <w:iCs/>
        </w:rPr>
        <w:t>2</w:t>
      </w:r>
      <w:r w:rsidRPr="00F77369">
        <w:rPr>
          <w:rStyle w:val="Subst"/>
          <w:b w:val="0"/>
          <w:bCs/>
          <w:i w:val="0"/>
          <w:iCs/>
        </w:rPr>
        <w:t xml:space="preserve"> года флот ОАО «СахМП» насчитывает 1</w:t>
      </w:r>
      <w:r>
        <w:rPr>
          <w:rStyle w:val="Subst"/>
          <w:b w:val="0"/>
          <w:bCs/>
          <w:i w:val="0"/>
          <w:iCs/>
        </w:rPr>
        <w:t>4</w:t>
      </w:r>
      <w:r w:rsidRPr="00F77369">
        <w:rPr>
          <w:rStyle w:val="Subst"/>
          <w:b w:val="0"/>
          <w:bCs/>
          <w:i w:val="0"/>
          <w:iCs/>
        </w:rPr>
        <w:t xml:space="preserve"> судов общим дедвейтом более </w:t>
      </w:r>
      <w:r>
        <w:rPr>
          <w:rStyle w:val="Subst"/>
          <w:b w:val="0"/>
          <w:bCs/>
          <w:i w:val="0"/>
          <w:iCs/>
        </w:rPr>
        <w:t>95</w:t>
      </w:r>
      <w:r w:rsidRPr="00F77369">
        <w:rPr>
          <w:rStyle w:val="Subst"/>
          <w:b w:val="0"/>
          <w:bCs/>
          <w:i w:val="0"/>
          <w:iCs/>
        </w:rPr>
        <w:t xml:space="preserve"> тысяч тонн. </w:t>
      </w:r>
    </w:p>
    <w:p w:rsidR="006F1885" w:rsidRDefault="006F1885" w:rsidP="006F1885">
      <w:pPr>
        <w:jc w:val="both"/>
        <w:rPr>
          <w:rStyle w:val="Subst"/>
          <w:bCs/>
          <w:i w:val="0"/>
          <w:iCs/>
        </w:rPr>
      </w:pPr>
    </w:p>
    <w:p w:rsidR="006F1885" w:rsidRPr="00651AF8" w:rsidRDefault="006F1885" w:rsidP="006F1885">
      <w:pPr>
        <w:pStyle w:val="2"/>
        <w:rPr>
          <w:rFonts w:ascii="Times New Roman" w:eastAsiaTheme="minorEastAsia" w:hAnsi="Times New Roman"/>
          <w:i w:val="0"/>
          <w:iCs w:val="0"/>
          <w:sz w:val="22"/>
          <w:szCs w:val="22"/>
        </w:rPr>
      </w:pPr>
      <w:bookmarkStart w:id="6" w:name="_Toc129801824"/>
      <w:r w:rsidRPr="00651AF8">
        <w:rPr>
          <w:rFonts w:ascii="Times New Roman" w:eastAsiaTheme="minorEastAsia" w:hAnsi="Times New Roman"/>
          <w:i w:val="0"/>
          <w:iCs w:val="0"/>
          <w:sz w:val="22"/>
          <w:szCs w:val="22"/>
        </w:rPr>
        <w:t>1.4. Основные финансовые показатели эмитента</w:t>
      </w:r>
      <w:bookmarkEnd w:id="6"/>
    </w:p>
    <w:p w:rsidR="006F1885" w:rsidRPr="00651AF8" w:rsidRDefault="006F1885" w:rsidP="006F1885">
      <w:pPr>
        <w:ind w:right="-2"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6F1885" w:rsidRPr="00651AF8" w:rsidRDefault="006F1885" w:rsidP="006F1885">
      <w:pPr>
        <w:pStyle w:val="2"/>
        <w:rPr>
          <w:rFonts w:ascii="Times New Roman" w:eastAsiaTheme="minorEastAsia" w:hAnsi="Times New Roman"/>
          <w:i w:val="0"/>
          <w:iCs w:val="0"/>
          <w:sz w:val="22"/>
          <w:szCs w:val="22"/>
        </w:rPr>
      </w:pPr>
      <w:bookmarkStart w:id="7" w:name="_Toc129801825"/>
      <w:r w:rsidRPr="00651AF8">
        <w:rPr>
          <w:rFonts w:ascii="Times New Roman" w:eastAsiaTheme="minorEastAsia" w:hAnsi="Times New Roman"/>
          <w:i w:val="0"/>
          <w:iCs w:val="0"/>
          <w:sz w:val="22"/>
          <w:szCs w:val="22"/>
        </w:rPr>
        <w:t>1.5. Сведения об основных поставщиках, имеющих для эмитента существенное значение</w:t>
      </w:r>
      <w:bookmarkEnd w:id="7"/>
    </w:p>
    <w:p w:rsidR="006F1885" w:rsidRPr="00651AF8" w:rsidRDefault="006F1885" w:rsidP="006F1885">
      <w:pPr>
        <w:ind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6F1885" w:rsidRPr="00651AF8" w:rsidRDefault="006F1885" w:rsidP="006F1885">
      <w:pPr>
        <w:pStyle w:val="2"/>
        <w:rPr>
          <w:rFonts w:ascii="Times New Roman" w:eastAsiaTheme="minorEastAsia" w:hAnsi="Times New Roman"/>
          <w:i w:val="0"/>
          <w:iCs w:val="0"/>
          <w:sz w:val="22"/>
          <w:szCs w:val="22"/>
        </w:rPr>
      </w:pPr>
      <w:bookmarkStart w:id="8" w:name="_Toc129801826"/>
      <w:r w:rsidRPr="00651AF8">
        <w:rPr>
          <w:rFonts w:ascii="Times New Roman" w:eastAsiaTheme="minorEastAsia" w:hAnsi="Times New Roman"/>
          <w:i w:val="0"/>
          <w:iCs w:val="0"/>
          <w:sz w:val="22"/>
          <w:szCs w:val="22"/>
        </w:rPr>
        <w:t>1.6. Сведения об основных дебиторах, имеющих для эмитента существенное значение</w:t>
      </w:r>
      <w:bookmarkEnd w:id="8"/>
    </w:p>
    <w:p w:rsidR="006F1885" w:rsidRPr="00651AF8" w:rsidRDefault="006F1885" w:rsidP="006F1885">
      <w:pPr>
        <w:ind w:firstLine="426"/>
        <w:jc w:val="both"/>
        <w:rPr>
          <w:b/>
          <w:i/>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6F1885" w:rsidRPr="00651AF8" w:rsidRDefault="006F1885" w:rsidP="006F1885">
      <w:pPr>
        <w:pStyle w:val="2"/>
        <w:rPr>
          <w:rFonts w:ascii="Times New Roman" w:eastAsiaTheme="minorEastAsia" w:hAnsi="Times New Roman"/>
          <w:i w:val="0"/>
          <w:iCs w:val="0"/>
          <w:sz w:val="22"/>
          <w:szCs w:val="22"/>
        </w:rPr>
      </w:pPr>
      <w:bookmarkStart w:id="9" w:name="_Toc129801827"/>
      <w:r w:rsidRPr="00651AF8">
        <w:rPr>
          <w:rFonts w:ascii="Times New Roman" w:eastAsiaTheme="minorEastAsia" w:hAnsi="Times New Roman"/>
          <w:i w:val="0"/>
          <w:iCs w:val="0"/>
          <w:sz w:val="22"/>
          <w:szCs w:val="22"/>
        </w:rPr>
        <w:lastRenderedPageBreak/>
        <w:t>1.7. Сведения об обязательствах эмитента</w:t>
      </w:r>
      <w:bookmarkEnd w:id="9"/>
    </w:p>
    <w:p w:rsidR="006F1885" w:rsidRPr="00651AF8" w:rsidRDefault="006F1885" w:rsidP="006F1885">
      <w:pPr>
        <w:ind w:firstLine="426"/>
        <w:jc w:val="both"/>
        <w:rPr>
          <w:rStyle w:val="Subst"/>
          <w:b w:val="0"/>
          <w:bCs/>
          <w:i w:val="0"/>
          <w:iCs/>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6F1885" w:rsidRPr="000A70FC" w:rsidRDefault="006F1885" w:rsidP="006F1885">
      <w:pPr>
        <w:pStyle w:val="2"/>
        <w:rPr>
          <w:rFonts w:ascii="Times New Roman" w:eastAsiaTheme="minorEastAsia" w:hAnsi="Times New Roman"/>
          <w:i w:val="0"/>
          <w:iCs w:val="0"/>
          <w:sz w:val="22"/>
          <w:szCs w:val="22"/>
        </w:rPr>
      </w:pPr>
      <w:bookmarkStart w:id="10" w:name="_Toc129801828"/>
      <w:r w:rsidRPr="000A70FC">
        <w:rPr>
          <w:rFonts w:ascii="Times New Roman" w:eastAsiaTheme="minorEastAsia" w:hAnsi="Times New Roman"/>
          <w:i w:val="0"/>
          <w:iCs w:val="0"/>
          <w:sz w:val="22"/>
          <w:szCs w:val="22"/>
        </w:rPr>
        <w:t>1.8. Сведения о перспективах развития эмитента</w:t>
      </w:r>
      <w:bookmarkEnd w:id="10"/>
    </w:p>
    <w:p w:rsidR="006F1885" w:rsidRPr="00581AA1" w:rsidRDefault="006F1885" w:rsidP="006F1885">
      <w:pPr>
        <w:ind w:firstLine="426"/>
        <w:jc w:val="both"/>
        <w:rPr>
          <w:rStyle w:val="Subst"/>
          <w:b w:val="0"/>
          <w:i w:val="0"/>
        </w:rPr>
      </w:pPr>
      <w:r w:rsidRPr="00581AA1">
        <w:rPr>
          <w:rStyle w:val="Subst"/>
          <w:b w:val="0"/>
          <w:bCs/>
          <w:i w:val="0"/>
          <w:iCs/>
        </w:rPr>
        <w:t>Эмитент не ожидает существенного изменения структуры перевозок в среднесрочной перспективе. Основные задачи на ближайший отчетный период – развитие текущих направлений, обеспечение грузовых потребностей Дальневосточного региона, в т.ч. увеличение объема перевозок по Северному морскому пути, расширение контейнерного сервиса, увеличение контейнерного парка, расширение перечня оказываемых услуг и повышение их качества. А также о</w:t>
      </w:r>
      <w:r w:rsidRPr="00581AA1">
        <w:rPr>
          <w:rStyle w:val="Subst"/>
          <w:b w:val="0"/>
          <w:i w:val="0"/>
        </w:rPr>
        <w:t>ткрытие нового сервиса Тяньзинь – Владивосток в рамках задачи по укреплению экспортно-импортного направления, что позволит охватить северную часть КНР, выход на альтернативные терминалы в портах ДВ РФ для экспортно-импортного направления.</w:t>
      </w:r>
    </w:p>
    <w:p w:rsidR="006F1885" w:rsidRPr="00581AA1" w:rsidRDefault="006F1885" w:rsidP="006F1885">
      <w:pPr>
        <w:ind w:firstLine="426"/>
        <w:jc w:val="both"/>
        <w:rPr>
          <w:rStyle w:val="Subst"/>
          <w:b w:val="0"/>
          <w:i w:val="0"/>
        </w:rPr>
      </w:pPr>
      <w:r w:rsidRPr="00581AA1">
        <w:rPr>
          <w:rStyle w:val="Subst"/>
          <w:b w:val="0"/>
          <w:i w:val="0"/>
        </w:rPr>
        <w:t>Стратегические направления развития Эмитента (до 2030 года):</w:t>
      </w:r>
    </w:p>
    <w:p w:rsidR="006F1885" w:rsidRPr="00581AA1" w:rsidRDefault="006F1885" w:rsidP="006F1885">
      <w:pPr>
        <w:ind w:firstLine="426"/>
        <w:jc w:val="both"/>
        <w:rPr>
          <w:rStyle w:val="Subst"/>
          <w:b w:val="0"/>
          <w:bCs/>
          <w:i w:val="0"/>
          <w:iCs/>
        </w:rPr>
      </w:pPr>
      <w:r w:rsidRPr="00581AA1">
        <w:rPr>
          <w:rStyle w:val="Subst"/>
          <w:b w:val="0"/>
          <w:bCs/>
          <w:i w:val="0"/>
          <w:iCs/>
        </w:rPr>
        <w:t xml:space="preserve">Модернизация существующих сервисов, на которых компания работает уже сегодня, т.е.  линии Владивосток – Магадан, Владивосток – Корсаков, Ванино – Холмск, Владивосток – порты КНР. А также работа на перевозках в направлении Восточного сектора Арктики путем замены многоцелевых судов на специализированные контейнеровозы, которые позволят успешно конкурировать на данных направлениях, сохраняя и имея потенциал, для наращивания доли рынка, а также путем приобретения современного многоцелевого судна, для расширения нашего присутствия на перевозках в интересах компаний, работающих опираясь на порты по всей трассе СМП от Мурманска до Анадыря.      </w:t>
      </w:r>
    </w:p>
    <w:p w:rsidR="006F1885" w:rsidRPr="00651AF8" w:rsidRDefault="006F1885" w:rsidP="006F1885">
      <w:pPr>
        <w:pStyle w:val="2"/>
        <w:rPr>
          <w:rFonts w:ascii="Times New Roman" w:eastAsiaTheme="minorEastAsia" w:hAnsi="Times New Roman"/>
          <w:i w:val="0"/>
          <w:iCs w:val="0"/>
          <w:sz w:val="22"/>
          <w:szCs w:val="22"/>
        </w:rPr>
      </w:pPr>
      <w:bookmarkStart w:id="11" w:name="_Toc129801829"/>
      <w:r w:rsidRPr="00651AF8">
        <w:rPr>
          <w:rFonts w:ascii="Times New Roman" w:eastAsiaTheme="minorEastAsia" w:hAnsi="Times New Roman"/>
          <w:i w:val="0"/>
          <w:iCs w:val="0"/>
          <w:sz w:val="22"/>
          <w:szCs w:val="22"/>
        </w:rPr>
        <w:t>1.9. Сведения о рисках, связанных с деятельностью эмитента</w:t>
      </w:r>
      <w:bookmarkEnd w:id="11"/>
    </w:p>
    <w:p w:rsidR="006F1885" w:rsidRDefault="006F1885" w:rsidP="006F1885">
      <w:pPr>
        <w:ind w:firstLine="426"/>
        <w:jc w:val="both"/>
        <w:rPr>
          <w:rStyle w:val="Subst"/>
          <w:b w:val="0"/>
          <w:bCs/>
          <w:i w:val="0"/>
          <w:iCs/>
        </w:rPr>
      </w:pPr>
      <w:r w:rsidRPr="00651AF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p>
    <w:p w:rsidR="006F1885" w:rsidRDefault="006F1885" w:rsidP="006F1885">
      <w:pPr>
        <w:jc w:val="both"/>
        <w:rPr>
          <w:rStyle w:val="Subst"/>
          <w:bCs/>
          <w:i w:val="0"/>
          <w:iCs/>
        </w:rPr>
      </w:pPr>
    </w:p>
    <w:p w:rsidR="006F1885" w:rsidRDefault="006F1885" w:rsidP="006F1885">
      <w:pPr>
        <w:jc w:val="both"/>
        <w:rPr>
          <w:rStyle w:val="Subst"/>
          <w:bCs/>
          <w:i w:val="0"/>
          <w:iCs/>
        </w:rPr>
      </w:pPr>
    </w:p>
    <w:p w:rsidR="006F1885" w:rsidRPr="00D42373" w:rsidRDefault="006F1885" w:rsidP="006F1885">
      <w:pPr>
        <w:pStyle w:val="2"/>
        <w:jc w:val="both"/>
        <w:rPr>
          <w:rFonts w:ascii="Times New Roman" w:hAnsi="Times New Roman"/>
          <w:i w:val="0"/>
          <w:sz w:val="24"/>
          <w:szCs w:val="24"/>
        </w:rPr>
      </w:pPr>
      <w:bookmarkStart w:id="12" w:name="_Toc129801830"/>
      <w:r>
        <w:rPr>
          <w:rFonts w:ascii="Times New Roman" w:hAnsi="Times New Roman"/>
          <w:i w:val="0"/>
          <w:sz w:val="24"/>
          <w:szCs w:val="24"/>
        </w:rPr>
        <w:t>Р</w:t>
      </w:r>
      <w:r w:rsidRPr="00D42373">
        <w:rPr>
          <w:rFonts w:ascii="Times New Roman" w:hAnsi="Times New Roman"/>
          <w:i w:val="0"/>
          <w:sz w:val="24"/>
          <w:szCs w:val="24"/>
        </w:rPr>
        <w:t>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12"/>
    </w:p>
    <w:p w:rsidR="006F1885" w:rsidRPr="003C15C3" w:rsidRDefault="006F1885" w:rsidP="006F1885">
      <w:pPr>
        <w:pStyle w:val="2"/>
        <w:rPr>
          <w:rFonts w:ascii="Times New Roman" w:hAnsi="Times New Roman"/>
          <w:i w:val="0"/>
          <w:sz w:val="22"/>
          <w:szCs w:val="22"/>
        </w:rPr>
      </w:pPr>
      <w:bookmarkStart w:id="13" w:name="_Toc129801831"/>
      <w:r w:rsidRPr="003C15C3">
        <w:rPr>
          <w:rFonts w:ascii="Times New Roman" w:hAnsi="Times New Roman"/>
          <w:i w:val="0"/>
          <w:sz w:val="22"/>
          <w:szCs w:val="22"/>
        </w:rPr>
        <w:t>2.1. Информация о лицах, входящих в состав органов управления эмитента</w:t>
      </w:r>
      <w:bookmarkEnd w:id="13"/>
    </w:p>
    <w:p w:rsidR="006F1885" w:rsidRPr="00581C1A" w:rsidRDefault="006F1885" w:rsidP="006F1885">
      <w:pPr>
        <w:adjustRightInd w:val="0"/>
        <w:jc w:val="both"/>
        <w:rPr>
          <w:b/>
          <w:bCs/>
          <w:iCs/>
        </w:rPr>
      </w:pPr>
      <w:r>
        <w:t>Информация не раскрывается в соответствии с Постановлением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Pr="00CA4942" w:rsidRDefault="006F1885" w:rsidP="006F1885">
      <w:pPr>
        <w:pStyle w:val="2"/>
        <w:rPr>
          <w:rFonts w:ascii="Times New Roman" w:hAnsi="Times New Roman"/>
          <w:i w:val="0"/>
          <w:sz w:val="22"/>
          <w:szCs w:val="22"/>
        </w:rPr>
      </w:pPr>
      <w:bookmarkStart w:id="14" w:name="_Toc129801832"/>
      <w:r w:rsidRPr="00CA4942">
        <w:rPr>
          <w:rFonts w:ascii="Times New Roman" w:hAnsi="Times New Roman"/>
          <w:i w:val="0"/>
          <w:sz w:val="22"/>
          <w:szCs w:val="22"/>
        </w:rPr>
        <w:t>2.1.1. Состав совета директоров (наблюдательного совета) эмитента</w:t>
      </w:r>
      <w:bookmarkEnd w:id="14"/>
    </w:p>
    <w:p w:rsidR="006F1885" w:rsidRPr="00B378F3" w:rsidRDefault="006F1885" w:rsidP="006F1885">
      <w:pPr>
        <w:jc w:val="both"/>
        <w:rPr>
          <w:i/>
        </w:rPr>
      </w:pPr>
      <w:r>
        <w:t>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pStyle w:val="2"/>
        <w:rPr>
          <w:rFonts w:ascii="Times New Roman" w:hAnsi="Times New Roman"/>
          <w:i w:val="0"/>
          <w:sz w:val="22"/>
          <w:szCs w:val="22"/>
        </w:rPr>
      </w:pPr>
      <w:bookmarkStart w:id="15" w:name="_Toc129801833"/>
      <w:r w:rsidRPr="006A3193">
        <w:rPr>
          <w:rFonts w:ascii="Times New Roman" w:hAnsi="Times New Roman"/>
          <w:i w:val="0"/>
          <w:sz w:val="22"/>
          <w:szCs w:val="22"/>
        </w:rPr>
        <w:t>2.1.2. Информация о единоличном исполнительном органе эмитента</w:t>
      </w:r>
      <w:bookmarkEnd w:id="15"/>
    </w:p>
    <w:p w:rsidR="006F1885" w:rsidRPr="00D621CE" w:rsidRDefault="006F1885" w:rsidP="006F1885">
      <w:pPr>
        <w:adjustRightInd w:val="0"/>
        <w:jc w:val="both"/>
        <w:rPr>
          <w:b/>
          <w:bCs/>
          <w:iCs/>
        </w:rPr>
      </w:pPr>
      <w:r>
        <w:t>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pStyle w:val="2"/>
        <w:rPr>
          <w:rFonts w:ascii="Times New Roman" w:hAnsi="Times New Roman"/>
          <w:i w:val="0"/>
          <w:sz w:val="22"/>
          <w:szCs w:val="22"/>
        </w:rPr>
      </w:pPr>
      <w:bookmarkStart w:id="16" w:name="_Toc129801834"/>
      <w:r w:rsidRPr="006A3193">
        <w:rPr>
          <w:rFonts w:ascii="Times New Roman" w:hAnsi="Times New Roman"/>
          <w:i w:val="0"/>
          <w:sz w:val="22"/>
          <w:szCs w:val="22"/>
        </w:rPr>
        <w:t>2.1.3. Состав коллегиального исполнительного органа эмитента</w:t>
      </w:r>
      <w:bookmarkEnd w:id="16"/>
    </w:p>
    <w:p w:rsidR="006F1885" w:rsidRDefault="006F1885" w:rsidP="006F1885">
      <w:pPr>
        <w:jc w:val="both"/>
        <w:rPr>
          <w:rStyle w:val="Subst"/>
          <w:bCs/>
          <w:i w:val="0"/>
          <w:iCs/>
        </w:rPr>
      </w:pPr>
      <w:r>
        <w:t xml:space="preserve">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w:t>
      </w:r>
      <w:r>
        <w:lastRenderedPageBreak/>
        <w:t>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jc w:val="both"/>
        <w:rPr>
          <w:rStyle w:val="Subst"/>
          <w:bCs/>
          <w:i w:val="0"/>
          <w:iCs/>
        </w:rPr>
      </w:pPr>
    </w:p>
    <w:p w:rsidR="006F1885" w:rsidRPr="004E2BDE" w:rsidRDefault="006F1885" w:rsidP="006F1885">
      <w:pPr>
        <w:pStyle w:val="2"/>
        <w:jc w:val="both"/>
        <w:rPr>
          <w:rFonts w:ascii="Times New Roman" w:hAnsi="Times New Roman"/>
          <w:i w:val="0"/>
          <w:sz w:val="22"/>
          <w:szCs w:val="22"/>
        </w:rPr>
      </w:pPr>
      <w:bookmarkStart w:id="17" w:name="_Toc129801835"/>
      <w:r w:rsidRPr="004E2BDE">
        <w:rPr>
          <w:rFonts w:ascii="Times New Roman" w:hAnsi="Times New Roman"/>
          <w:i w:val="0"/>
          <w:sz w:val="22"/>
          <w:szCs w:val="2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17"/>
    </w:p>
    <w:p w:rsidR="006F1885" w:rsidRDefault="006F1885" w:rsidP="006F1885">
      <w:pPr>
        <w:ind w:left="200"/>
        <w:rPr>
          <w:color w:val="7030A0"/>
        </w:rPr>
      </w:pPr>
    </w:p>
    <w:p w:rsidR="006F1885" w:rsidRDefault="006F1885" w:rsidP="006F1885">
      <w:pPr>
        <w:ind w:firstLine="426"/>
        <w:jc w:val="both"/>
      </w:pPr>
      <w:r w:rsidRPr="004E2BDE">
        <w:t>Основные положения политики в области вознаграждения и (или) компенсации расходов членов органов управления эмитента:</w:t>
      </w:r>
    </w:p>
    <w:p w:rsidR="006F1885" w:rsidRDefault="006F1885" w:rsidP="006F1885">
      <w:pPr>
        <w:pStyle w:val="af1"/>
        <w:ind w:firstLine="426"/>
        <w:jc w:val="both"/>
        <w:rPr>
          <w:b w:val="0"/>
          <w:sz w:val="20"/>
        </w:rPr>
      </w:pPr>
      <w:r w:rsidRPr="00EB3627">
        <w:rPr>
          <w:b w:val="0"/>
          <w:sz w:val="20"/>
        </w:rPr>
        <w:t xml:space="preserve">В соответствии с </w:t>
      </w:r>
      <w:hyperlink r:id="rId9" w:history="1">
        <w:r w:rsidRPr="00EB3627">
          <w:rPr>
            <w:b w:val="0"/>
            <w:sz w:val="20"/>
          </w:rPr>
          <w:t>п</w:t>
        </w:r>
        <w:r>
          <w:rPr>
            <w:b w:val="0"/>
            <w:sz w:val="20"/>
          </w:rPr>
          <w:t>.</w:t>
        </w:r>
        <w:r w:rsidRPr="00EB3627">
          <w:rPr>
            <w:b w:val="0"/>
            <w:sz w:val="20"/>
          </w:rPr>
          <w:t xml:space="preserve"> 2 ст</w:t>
        </w:r>
        <w:r>
          <w:rPr>
            <w:b w:val="0"/>
            <w:sz w:val="20"/>
          </w:rPr>
          <w:t>.</w:t>
        </w:r>
        <w:r w:rsidRPr="00EB3627">
          <w:rPr>
            <w:b w:val="0"/>
            <w:sz w:val="20"/>
          </w:rPr>
          <w:t xml:space="preserve"> 64</w:t>
        </w:r>
      </w:hyperlink>
      <w:r w:rsidRPr="00EB3627">
        <w:rPr>
          <w:b w:val="0"/>
          <w:sz w:val="20"/>
        </w:rPr>
        <w:t xml:space="preserve"> Федерального закона от 26.12.1995 N 208-ФЗ «Об акционерных обществах» 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r w:rsidRPr="004E2BDE">
        <w:rPr>
          <w:sz w:val="20"/>
        </w:rPr>
        <w:t>.</w:t>
      </w:r>
    </w:p>
    <w:p w:rsidR="006F1885" w:rsidRPr="00EB3627" w:rsidRDefault="006F1885" w:rsidP="006F1885">
      <w:pPr>
        <w:pStyle w:val="af1"/>
        <w:ind w:firstLine="426"/>
        <w:jc w:val="both"/>
        <w:rPr>
          <w:b w:val="0"/>
          <w:sz w:val="20"/>
        </w:rPr>
      </w:pPr>
      <w:r>
        <w:rPr>
          <w:b w:val="0"/>
          <w:sz w:val="20"/>
        </w:rPr>
        <w:t>Положением о Совете директоров, утвержденным решением общего собрания акционеров, предусмотрены в</w:t>
      </w:r>
      <w:r w:rsidRPr="00EB3627">
        <w:rPr>
          <w:b w:val="0"/>
          <w:sz w:val="20"/>
        </w:rPr>
        <w:t>ознаграждения и компен</w:t>
      </w:r>
      <w:r>
        <w:rPr>
          <w:b w:val="0"/>
          <w:sz w:val="20"/>
        </w:rPr>
        <w:t>са</w:t>
      </w:r>
      <w:r w:rsidRPr="00EB3627">
        <w:rPr>
          <w:b w:val="0"/>
          <w:sz w:val="20"/>
        </w:rPr>
        <w:t>ции</w:t>
      </w:r>
      <w:r>
        <w:rPr>
          <w:b w:val="0"/>
          <w:sz w:val="20"/>
        </w:rPr>
        <w:t xml:space="preserve">, выплачиваемые </w:t>
      </w:r>
      <w:r w:rsidRPr="00EB3627">
        <w:rPr>
          <w:b w:val="0"/>
          <w:sz w:val="20"/>
        </w:rPr>
        <w:t>членам совета директоров</w:t>
      </w:r>
      <w:r>
        <w:rPr>
          <w:b w:val="0"/>
          <w:sz w:val="20"/>
        </w:rPr>
        <w:t>:</w:t>
      </w:r>
    </w:p>
    <w:p w:rsidR="006F1885" w:rsidRPr="004E2BDE" w:rsidRDefault="006F1885" w:rsidP="006F1885">
      <w:pPr>
        <w:pStyle w:val="af1"/>
        <w:jc w:val="both"/>
        <w:rPr>
          <w:b w:val="0"/>
          <w:sz w:val="20"/>
        </w:rPr>
      </w:pPr>
      <w:r>
        <w:rPr>
          <w:b w:val="0"/>
          <w:sz w:val="20"/>
        </w:rPr>
        <w:t>- ч</w:t>
      </w:r>
      <w:r w:rsidRPr="004E2BDE">
        <w:rPr>
          <w:b w:val="0"/>
          <w:sz w:val="20"/>
        </w:rPr>
        <w:t>ленам совета директоров общества, не являющимся штатными работниками комитетов совета директоров общества, осуществляющих руководство отдельными направлениями (участками) текущей деятельности общества, ежемесячно выплачивается денежное вознаграждение в размере 5000 рублей, им компенсируются транспортные и иные расходы, связанные с выполнением обязанностей члена совета директоров общества</w:t>
      </w:r>
      <w:r>
        <w:rPr>
          <w:b w:val="0"/>
          <w:sz w:val="20"/>
        </w:rPr>
        <w:t>;</w:t>
      </w:r>
    </w:p>
    <w:p w:rsidR="006F1885" w:rsidRPr="004E2BDE" w:rsidRDefault="006F1885" w:rsidP="006F1885">
      <w:pPr>
        <w:pStyle w:val="af1"/>
        <w:jc w:val="both"/>
        <w:rPr>
          <w:b w:val="0"/>
          <w:sz w:val="20"/>
        </w:rPr>
      </w:pPr>
      <w:r>
        <w:rPr>
          <w:b w:val="0"/>
          <w:sz w:val="20"/>
        </w:rPr>
        <w:t>- о</w:t>
      </w:r>
      <w:r w:rsidRPr="004E2BDE">
        <w:rPr>
          <w:b w:val="0"/>
          <w:sz w:val="20"/>
        </w:rPr>
        <w:t>плата труда штатных работников совета директоров (его комитетов), выполняющих функции текущей деятельности общества производится в соответствии со штатными расписаниями, утверждаемыми советом директоров общества и действующими в обществе системами оплаты труда</w:t>
      </w:r>
      <w:r>
        <w:rPr>
          <w:b w:val="0"/>
          <w:sz w:val="20"/>
        </w:rPr>
        <w:t>;</w:t>
      </w:r>
    </w:p>
    <w:p w:rsidR="006F1885" w:rsidRPr="004E2BDE" w:rsidRDefault="006F1885" w:rsidP="006F1885">
      <w:pPr>
        <w:pStyle w:val="af1"/>
        <w:jc w:val="both"/>
        <w:rPr>
          <w:b w:val="0"/>
          <w:sz w:val="20"/>
        </w:rPr>
      </w:pPr>
      <w:r w:rsidRPr="00A049F0">
        <w:rPr>
          <w:b w:val="0"/>
          <w:sz w:val="20"/>
        </w:rPr>
        <w:t>- по результатам работы акционерного общества за отчетный год на премирование членов совета директоров общества направляется до 2 процентов полученной обществом чистой прибыли по решению годового общего собрания акционеров общества;</w:t>
      </w:r>
    </w:p>
    <w:p w:rsidR="006F1885" w:rsidRPr="004E2BDE" w:rsidRDefault="006F1885" w:rsidP="006F1885">
      <w:pPr>
        <w:pStyle w:val="af1"/>
        <w:jc w:val="both"/>
        <w:rPr>
          <w:b w:val="0"/>
          <w:sz w:val="20"/>
        </w:rPr>
      </w:pPr>
    </w:p>
    <w:p w:rsidR="006F1885" w:rsidRDefault="006F1885" w:rsidP="006F1885"/>
    <w:p w:rsidR="006F1885" w:rsidRPr="009C3BC4" w:rsidRDefault="006F1885" w:rsidP="006F1885">
      <w:r w:rsidRPr="00F16EC9">
        <w:t>Сведения о размере вознаграждения и/или компенсации расходов по каждому органу управления эмитента</w:t>
      </w:r>
    </w:p>
    <w:p w:rsidR="006F1885" w:rsidRDefault="006F1885" w:rsidP="006F1885">
      <w:r>
        <w:t>Вознаграждения</w:t>
      </w:r>
    </w:p>
    <w:p w:rsidR="006F1885" w:rsidRPr="00734CA3" w:rsidRDefault="006F1885" w:rsidP="006F1885"/>
    <w:p w:rsidR="006F1885" w:rsidRDefault="006F1885" w:rsidP="006F1885">
      <w:r>
        <w:t>Совет директоров</w:t>
      </w:r>
    </w:p>
    <w:p w:rsidR="006F1885" w:rsidRPr="003C0DE0" w:rsidRDefault="006F1885" w:rsidP="006F1885">
      <w:r>
        <w:t xml:space="preserve">Единица </w:t>
      </w:r>
      <w:r w:rsidRPr="00F16EC9">
        <w:t>измерения:</w:t>
      </w:r>
      <w:r w:rsidRPr="003C0DE0">
        <w:rPr>
          <w:b/>
          <w:i/>
        </w:rPr>
        <w:t xml:space="preserve"> </w:t>
      </w:r>
      <w:r w:rsidRPr="003C0DE0">
        <w:t>руб.</w:t>
      </w:r>
    </w:p>
    <w:p w:rsidR="006F1885" w:rsidRDefault="006F1885" w:rsidP="006F1885">
      <w:pPr>
        <w:pStyle w:val="ThinDeli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660"/>
      </w:tblGrid>
      <w:tr w:rsidR="006F1885" w:rsidTr="005B006B">
        <w:tc>
          <w:tcPr>
            <w:tcW w:w="6492" w:type="dxa"/>
          </w:tcPr>
          <w:p w:rsidR="006F1885" w:rsidRDefault="006F1885" w:rsidP="005B006B">
            <w:pPr>
              <w:jc w:val="center"/>
            </w:pPr>
            <w:r>
              <w:t>Наименование показателя</w:t>
            </w:r>
          </w:p>
        </w:tc>
        <w:tc>
          <w:tcPr>
            <w:tcW w:w="1660" w:type="dxa"/>
          </w:tcPr>
          <w:p w:rsidR="006F1885" w:rsidRDefault="006F1885" w:rsidP="005B006B">
            <w:pPr>
              <w:jc w:val="center"/>
            </w:pPr>
            <w:r>
              <w:t>2022</w:t>
            </w:r>
          </w:p>
        </w:tc>
      </w:tr>
      <w:tr w:rsidR="006F1885" w:rsidTr="005B006B">
        <w:tc>
          <w:tcPr>
            <w:tcW w:w="6492" w:type="dxa"/>
          </w:tcPr>
          <w:p w:rsidR="006F1885" w:rsidRDefault="006F1885" w:rsidP="005B006B">
            <w:r>
              <w:t>Вознаграждение за участие в работе органа управления</w:t>
            </w:r>
          </w:p>
        </w:tc>
        <w:tc>
          <w:tcPr>
            <w:tcW w:w="1660" w:type="dxa"/>
          </w:tcPr>
          <w:p w:rsidR="006F1885" w:rsidRDefault="006F1885" w:rsidP="005B006B">
            <w:pPr>
              <w:jc w:val="right"/>
            </w:pPr>
            <w:r>
              <w:t>15 511 188,12</w:t>
            </w:r>
          </w:p>
        </w:tc>
      </w:tr>
      <w:tr w:rsidR="006F1885" w:rsidTr="005B006B">
        <w:tc>
          <w:tcPr>
            <w:tcW w:w="6492" w:type="dxa"/>
          </w:tcPr>
          <w:p w:rsidR="006F1885" w:rsidRDefault="006F1885" w:rsidP="005B006B">
            <w:r>
              <w:t>Заработная плата</w:t>
            </w:r>
          </w:p>
        </w:tc>
        <w:tc>
          <w:tcPr>
            <w:tcW w:w="1660" w:type="dxa"/>
          </w:tcPr>
          <w:p w:rsidR="006F1885" w:rsidRDefault="006F1885" w:rsidP="005B006B">
            <w:pPr>
              <w:jc w:val="right"/>
            </w:pPr>
            <w:r>
              <w:t>12 868 931,33</w:t>
            </w:r>
          </w:p>
        </w:tc>
      </w:tr>
      <w:tr w:rsidR="006F1885" w:rsidTr="005B006B">
        <w:tc>
          <w:tcPr>
            <w:tcW w:w="6492" w:type="dxa"/>
          </w:tcPr>
          <w:p w:rsidR="006F1885" w:rsidRDefault="006F1885" w:rsidP="005B006B">
            <w:r>
              <w:t>Премии</w:t>
            </w:r>
          </w:p>
        </w:tc>
        <w:tc>
          <w:tcPr>
            <w:tcW w:w="1660" w:type="dxa"/>
          </w:tcPr>
          <w:p w:rsidR="006F1885" w:rsidRDefault="006F1885" w:rsidP="005B006B">
            <w:pPr>
              <w:jc w:val="right"/>
            </w:pPr>
            <w:r>
              <w:t>3 200 000,00</w:t>
            </w:r>
          </w:p>
        </w:tc>
      </w:tr>
      <w:tr w:rsidR="006F1885" w:rsidTr="005B006B">
        <w:tc>
          <w:tcPr>
            <w:tcW w:w="6492" w:type="dxa"/>
          </w:tcPr>
          <w:p w:rsidR="006F1885" w:rsidRDefault="006F1885" w:rsidP="005B006B">
            <w:r>
              <w:t>Комиссионные</w:t>
            </w:r>
          </w:p>
        </w:tc>
        <w:tc>
          <w:tcPr>
            <w:tcW w:w="1660" w:type="dxa"/>
          </w:tcPr>
          <w:p w:rsidR="006F1885" w:rsidRDefault="006F1885" w:rsidP="005B006B"/>
        </w:tc>
      </w:tr>
      <w:tr w:rsidR="006F1885" w:rsidTr="005B006B">
        <w:tc>
          <w:tcPr>
            <w:tcW w:w="6492" w:type="dxa"/>
          </w:tcPr>
          <w:p w:rsidR="006F1885" w:rsidRDefault="006F1885" w:rsidP="005B006B">
            <w:r>
              <w:t>Компенсации</w:t>
            </w:r>
          </w:p>
        </w:tc>
        <w:tc>
          <w:tcPr>
            <w:tcW w:w="1660" w:type="dxa"/>
          </w:tcPr>
          <w:p w:rsidR="006F1885" w:rsidRDefault="006F1885" w:rsidP="005B006B">
            <w:pPr>
              <w:jc w:val="right"/>
            </w:pPr>
            <w:r>
              <w:t>3 817 424,78</w:t>
            </w:r>
          </w:p>
        </w:tc>
      </w:tr>
      <w:tr w:rsidR="006F1885" w:rsidTr="005B006B">
        <w:tc>
          <w:tcPr>
            <w:tcW w:w="6492" w:type="dxa"/>
          </w:tcPr>
          <w:p w:rsidR="006F1885" w:rsidRDefault="006F1885" w:rsidP="005B006B">
            <w:r>
              <w:t>Иные виды вознаграждений</w:t>
            </w:r>
          </w:p>
        </w:tc>
        <w:tc>
          <w:tcPr>
            <w:tcW w:w="1660" w:type="dxa"/>
          </w:tcPr>
          <w:p w:rsidR="006F1885" w:rsidRDefault="006F1885" w:rsidP="005B006B"/>
        </w:tc>
      </w:tr>
      <w:tr w:rsidR="006F1885" w:rsidTr="005B006B">
        <w:tc>
          <w:tcPr>
            <w:tcW w:w="6492" w:type="dxa"/>
          </w:tcPr>
          <w:p w:rsidR="006F1885" w:rsidRDefault="006F1885" w:rsidP="005B006B">
            <w:r>
              <w:t>ИТОГО</w:t>
            </w:r>
          </w:p>
        </w:tc>
        <w:tc>
          <w:tcPr>
            <w:tcW w:w="1660" w:type="dxa"/>
          </w:tcPr>
          <w:p w:rsidR="006F1885" w:rsidRDefault="006F1885" w:rsidP="005B006B">
            <w:pPr>
              <w:jc w:val="right"/>
            </w:pPr>
            <w:r>
              <w:t>35 397 544,23</w:t>
            </w:r>
          </w:p>
        </w:tc>
      </w:tr>
    </w:tbl>
    <w:p w:rsidR="006F1885" w:rsidRDefault="006F1885" w:rsidP="006F1885"/>
    <w:p w:rsidR="006F1885" w:rsidRDefault="006F1885" w:rsidP="006F1885">
      <w:r>
        <w:t>Коллегиальный исполнительный орган</w:t>
      </w:r>
    </w:p>
    <w:p w:rsidR="006F1885" w:rsidRDefault="006F1885" w:rsidP="006F1885">
      <w:r>
        <w:t>Единица измерения:</w:t>
      </w:r>
      <w:r w:rsidRPr="003C0DE0">
        <w:t xml:space="preserve"> руб.</w:t>
      </w:r>
    </w:p>
    <w:p w:rsidR="006F1885" w:rsidRDefault="006F1885" w:rsidP="006F1885">
      <w:pPr>
        <w:pStyle w:val="ThinDeli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660"/>
      </w:tblGrid>
      <w:tr w:rsidR="006F1885" w:rsidTr="005B006B">
        <w:tc>
          <w:tcPr>
            <w:tcW w:w="6492" w:type="dxa"/>
          </w:tcPr>
          <w:p w:rsidR="006F1885" w:rsidRDefault="006F1885" w:rsidP="005B006B">
            <w:pPr>
              <w:jc w:val="center"/>
            </w:pPr>
            <w:r>
              <w:t>Наименование показателя</w:t>
            </w:r>
          </w:p>
        </w:tc>
        <w:tc>
          <w:tcPr>
            <w:tcW w:w="1660" w:type="dxa"/>
          </w:tcPr>
          <w:p w:rsidR="006F1885" w:rsidRDefault="006F1885" w:rsidP="005B006B">
            <w:pPr>
              <w:jc w:val="center"/>
            </w:pPr>
            <w:r>
              <w:t>2022</w:t>
            </w:r>
          </w:p>
        </w:tc>
      </w:tr>
      <w:tr w:rsidR="006F1885" w:rsidTr="005B006B">
        <w:tc>
          <w:tcPr>
            <w:tcW w:w="6492" w:type="dxa"/>
          </w:tcPr>
          <w:p w:rsidR="006F1885" w:rsidRDefault="006F1885" w:rsidP="005B006B">
            <w:r>
              <w:t>Вознаграждение за участие в работе органа управления</w:t>
            </w:r>
          </w:p>
        </w:tc>
        <w:tc>
          <w:tcPr>
            <w:tcW w:w="1660" w:type="dxa"/>
          </w:tcPr>
          <w:p w:rsidR="006F1885" w:rsidRDefault="006F1885" w:rsidP="005B006B">
            <w:pPr>
              <w:jc w:val="right"/>
            </w:pPr>
            <w:r>
              <w:t>-</w:t>
            </w:r>
          </w:p>
        </w:tc>
      </w:tr>
      <w:tr w:rsidR="006F1885" w:rsidTr="005B006B">
        <w:tc>
          <w:tcPr>
            <w:tcW w:w="6492" w:type="dxa"/>
          </w:tcPr>
          <w:p w:rsidR="006F1885" w:rsidRDefault="006F1885" w:rsidP="005B006B">
            <w:r>
              <w:t>Заработная плата</w:t>
            </w:r>
          </w:p>
        </w:tc>
        <w:tc>
          <w:tcPr>
            <w:tcW w:w="1660" w:type="dxa"/>
          </w:tcPr>
          <w:p w:rsidR="006F1885" w:rsidRDefault="006F1885" w:rsidP="005B006B">
            <w:pPr>
              <w:jc w:val="right"/>
            </w:pPr>
            <w:r>
              <w:t>48 609 380,73</w:t>
            </w:r>
          </w:p>
        </w:tc>
      </w:tr>
      <w:tr w:rsidR="006F1885" w:rsidTr="005B006B">
        <w:tc>
          <w:tcPr>
            <w:tcW w:w="6492" w:type="dxa"/>
          </w:tcPr>
          <w:p w:rsidR="006F1885" w:rsidRDefault="006F1885" w:rsidP="005B006B">
            <w:r>
              <w:t>Премии</w:t>
            </w:r>
          </w:p>
        </w:tc>
        <w:tc>
          <w:tcPr>
            <w:tcW w:w="1660" w:type="dxa"/>
          </w:tcPr>
          <w:p w:rsidR="006F1885" w:rsidRDefault="006F1885" w:rsidP="005B006B">
            <w:pPr>
              <w:jc w:val="right"/>
            </w:pPr>
            <w:r>
              <w:t>48 203 306,00</w:t>
            </w:r>
          </w:p>
        </w:tc>
      </w:tr>
      <w:tr w:rsidR="006F1885" w:rsidTr="005B006B">
        <w:tc>
          <w:tcPr>
            <w:tcW w:w="6492" w:type="dxa"/>
          </w:tcPr>
          <w:p w:rsidR="006F1885" w:rsidRDefault="006F1885" w:rsidP="005B006B">
            <w:r>
              <w:t>Комиссионные</w:t>
            </w:r>
          </w:p>
        </w:tc>
        <w:tc>
          <w:tcPr>
            <w:tcW w:w="1660" w:type="dxa"/>
          </w:tcPr>
          <w:p w:rsidR="006F1885" w:rsidRDefault="006F1885" w:rsidP="005B006B">
            <w:pPr>
              <w:jc w:val="right"/>
            </w:pPr>
          </w:p>
        </w:tc>
      </w:tr>
      <w:tr w:rsidR="006F1885" w:rsidTr="005B006B">
        <w:tc>
          <w:tcPr>
            <w:tcW w:w="6492" w:type="dxa"/>
          </w:tcPr>
          <w:p w:rsidR="006F1885" w:rsidRDefault="006F1885" w:rsidP="005B006B">
            <w:r>
              <w:t>Льготы</w:t>
            </w:r>
          </w:p>
        </w:tc>
        <w:tc>
          <w:tcPr>
            <w:tcW w:w="1660" w:type="dxa"/>
          </w:tcPr>
          <w:p w:rsidR="006F1885" w:rsidRDefault="006F1885" w:rsidP="005B006B">
            <w:pPr>
              <w:jc w:val="right"/>
            </w:pPr>
          </w:p>
        </w:tc>
      </w:tr>
      <w:tr w:rsidR="006F1885" w:rsidTr="005B006B">
        <w:tc>
          <w:tcPr>
            <w:tcW w:w="6492" w:type="dxa"/>
          </w:tcPr>
          <w:p w:rsidR="006F1885" w:rsidRDefault="006F1885" w:rsidP="005B006B">
            <w:r>
              <w:t>Компенсации</w:t>
            </w:r>
          </w:p>
        </w:tc>
        <w:tc>
          <w:tcPr>
            <w:tcW w:w="1660" w:type="dxa"/>
          </w:tcPr>
          <w:p w:rsidR="006F1885" w:rsidRDefault="006F1885" w:rsidP="005B006B">
            <w:pPr>
              <w:jc w:val="right"/>
            </w:pPr>
            <w:r>
              <w:t>16 308 200,10</w:t>
            </w:r>
          </w:p>
        </w:tc>
      </w:tr>
      <w:tr w:rsidR="006F1885" w:rsidTr="005B006B">
        <w:tc>
          <w:tcPr>
            <w:tcW w:w="6492" w:type="dxa"/>
          </w:tcPr>
          <w:p w:rsidR="006F1885" w:rsidRDefault="006F1885" w:rsidP="005B006B">
            <w:r>
              <w:t>Иные виды вознаграждений</w:t>
            </w:r>
          </w:p>
        </w:tc>
        <w:tc>
          <w:tcPr>
            <w:tcW w:w="1660" w:type="dxa"/>
          </w:tcPr>
          <w:p w:rsidR="006F1885" w:rsidRDefault="006F1885" w:rsidP="005B006B">
            <w:pPr>
              <w:jc w:val="right"/>
            </w:pPr>
          </w:p>
        </w:tc>
      </w:tr>
      <w:tr w:rsidR="006F1885" w:rsidTr="005B006B">
        <w:tc>
          <w:tcPr>
            <w:tcW w:w="6492" w:type="dxa"/>
          </w:tcPr>
          <w:p w:rsidR="006F1885" w:rsidRDefault="006F1885" w:rsidP="005B006B">
            <w:r>
              <w:t>ИТОГО</w:t>
            </w:r>
          </w:p>
        </w:tc>
        <w:tc>
          <w:tcPr>
            <w:tcW w:w="1660" w:type="dxa"/>
          </w:tcPr>
          <w:p w:rsidR="006F1885" w:rsidRDefault="006F1885" w:rsidP="005B006B">
            <w:pPr>
              <w:jc w:val="right"/>
            </w:pPr>
            <w:r>
              <w:t>113 120 886,83</w:t>
            </w:r>
          </w:p>
        </w:tc>
      </w:tr>
    </w:tbl>
    <w:p w:rsidR="006F1885" w:rsidRDefault="006F1885" w:rsidP="006F1885">
      <w:pPr>
        <w:ind w:left="200"/>
      </w:pPr>
    </w:p>
    <w:p w:rsidR="006F1885" w:rsidRPr="00F953E6" w:rsidRDefault="006F1885" w:rsidP="006F1885">
      <w:pPr>
        <w:rPr>
          <w:b/>
          <w:i/>
        </w:rPr>
      </w:pPr>
      <w:r w:rsidRPr="00F953E6">
        <w:rPr>
          <w:rStyle w:val="Subst"/>
          <w:b w:val="0"/>
          <w:bCs/>
          <w:i w:val="0"/>
          <w:iCs/>
        </w:rPr>
        <w:t>Дополнительная информация отсутствует</w:t>
      </w:r>
    </w:p>
    <w:p w:rsidR="006F1885" w:rsidRDefault="006F1885" w:rsidP="006F1885">
      <w:pPr>
        <w:jc w:val="both"/>
        <w:rPr>
          <w:rStyle w:val="Subst"/>
          <w:bCs/>
          <w:i w:val="0"/>
          <w:iCs/>
        </w:rPr>
      </w:pPr>
    </w:p>
    <w:p w:rsidR="006F1885" w:rsidRDefault="006F1885" w:rsidP="006F1885">
      <w:pPr>
        <w:jc w:val="both"/>
        <w:rPr>
          <w:rStyle w:val="Subst"/>
          <w:bCs/>
          <w:i w:val="0"/>
          <w:iCs/>
        </w:rPr>
      </w:pPr>
    </w:p>
    <w:p w:rsidR="006F1885" w:rsidRPr="00AE6884" w:rsidRDefault="006F1885" w:rsidP="006F1885">
      <w:pPr>
        <w:pStyle w:val="2"/>
        <w:jc w:val="both"/>
      </w:pPr>
      <w:bookmarkStart w:id="18" w:name="_Toc129801836"/>
      <w:r w:rsidRPr="00AE6884">
        <w:rPr>
          <w:rFonts w:ascii="Times New Roman" w:hAnsi="Times New Roman"/>
          <w:i w:val="0"/>
          <w:sz w:val="22"/>
          <w:szCs w:val="22"/>
        </w:rPr>
        <w:lastRenderedPageBreak/>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18"/>
    </w:p>
    <w:p w:rsidR="006F1885" w:rsidRPr="00AE6884" w:rsidRDefault="006F1885" w:rsidP="006F1885">
      <w:pPr>
        <w:spacing w:after="120"/>
        <w:jc w:val="both"/>
      </w:pPr>
      <w:r w:rsidRPr="00AE6884">
        <w:rPr>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6F1885" w:rsidRPr="00AE6884" w:rsidRDefault="006F1885" w:rsidP="006F1885">
      <w:pPr>
        <w:spacing w:after="120"/>
        <w:jc w:val="both"/>
      </w:pPr>
      <w:r w:rsidRPr="00AE6884">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rsidR="006F1885" w:rsidRPr="00AE6884" w:rsidRDefault="006F1885" w:rsidP="006F1885">
      <w:pPr>
        <w:spacing w:after="120"/>
        <w:jc w:val="both"/>
      </w:pPr>
      <w:r w:rsidRPr="00AE6884">
        <w:t>В обществе не образован комитет по аудиту совета директоров, однако приняты локальные нормативные акты, регламентирующие функции такого комитета и определяющие его место в общей системе контроля за финансово-хозяйственной деятельностью и управления рисками.</w:t>
      </w:r>
    </w:p>
    <w:p w:rsidR="006F1885" w:rsidRPr="00AE6884" w:rsidRDefault="006F1885" w:rsidP="006F1885">
      <w:pPr>
        <w:spacing w:after="120"/>
        <w:jc w:val="both"/>
      </w:pPr>
      <w:r w:rsidRPr="00AE6884">
        <w:t xml:space="preserve">В компании организована система управления рисками (СУР), а также система контроля за финансово-хозяйственной деятельностью. СУР в компании регламентирована различными локальными нормативными актами, которые предусматривают исполнение задач и функций СУР. </w:t>
      </w:r>
    </w:p>
    <w:p w:rsidR="006F1885" w:rsidRPr="00AE6884" w:rsidRDefault="006F1885" w:rsidP="006F1885">
      <w:pPr>
        <w:spacing w:after="120"/>
        <w:jc w:val="both"/>
      </w:pPr>
      <w:r w:rsidRPr="00AE6884">
        <w:t>Подразделение по управлению рисками осуществляет подготовку следующих информационных материалов для рассмотрения Генеральным директором, Правлением, ПВАК и СД Компании: Паспорта значимых рисков, Реестр / карта рисков Компании, Систему ключевых рисковых индикаторов, Сводный отчет о выполнении мероприятий по управлению рисками Компании.</w:t>
      </w:r>
    </w:p>
    <w:p w:rsidR="006F1885" w:rsidRPr="00AE6884" w:rsidRDefault="006F1885" w:rsidP="006F1885">
      <w:pPr>
        <w:spacing w:after="120"/>
        <w:jc w:val="both"/>
      </w:pPr>
      <w:r w:rsidRPr="00AE6884">
        <w:t xml:space="preserve">Основным документом, регламентирующим управление рисками в компании, является Политика управления рисками Открытого акционерного общества «Сахалинское морское пароходство» (далее «Политика»), утверждённая в 2019 году, со всеми изменениями и дополнениями на текущую дату. </w:t>
      </w:r>
    </w:p>
    <w:p w:rsidR="006F1885" w:rsidRPr="00AE6884" w:rsidRDefault="006F1885" w:rsidP="006F1885">
      <w:pPr>
        <w:spacing w:after="120"/>
        <w:jc w:val="both"/>
      </w:pPr>
      <w:r w:rsidRPr="00AE6884">
        <w:t>Политика определяет основные цели управления рисками, принципы функционирования системы управления рисками (далее – СУР), общие подходы к выявлению, оценке и управлению рисками, основные функции и ответственность участников СУР, а также порядок оценки СУР.</w:t>
      </w:r>
    </w:p>
    <w:p w:rsidR="006F1885" w:rsidRPr="00AE6884" w:rsidRDefault="006F1885" w:rsidP="006F1885">
      <w:pPr>
        <w:spacing w:after="120"/>
        <w:jc w:val="both"/>
      </w:pPr>
      <w:r w:rsidRPr="00AE6884">
        <w:rPr>
          <w:bCs/>
          <w:iCs/>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6F1885" w:rsidRPr="00AE6884" w:rsidRDefault="006F1885" w:rsidP="006F1885">
      <w:pPr>
        <w:spacing w:after="120"/>
        <w:jc w:val="both"/>
      </w:pPr>
      <w:r w:rsidRPr="00AE6884">
        <w:rPr>
          <w:color w:val="000000"/>
          <w:shd w:val="clear" w:color="auto" w:fill="FFFFFF"/>
        </w:rPr>
        <w:t>Внутренний аудит в компании представляет собой деятельность, которая направлена на предоставление объективных и независимых консультаций и гарантий для улучшения деятельности предприятия. Цель внутреннего аудита - оценивать риски, находить способы их уменьшения, а также увеличивать рентабельность бизнес-процессов.</w:t>
      </w:r>
    </w:p>
    <w:p w:rsidR="006F1885" w:rsidRPr="00AE6884" w:rsidRDefault="006F1885" w:rsidP="006F1885">
      <w:pPr>
        <w:spacing w:after="120"/>
        <w:jc w:val="both"/>
      </w:pPr>
      <w:r w:rsidRPr="00AE6884">
        <w:rPr>
          <w:color w:val="000000"/>
          <w:shd w:val="clear" w:color="auto" w:fill="FFFFFF"/>
        </w:rPr>
        <w:t xml:space="preserve">Главные задачи внутреннего аудита </w:t>
      </w:r>
      <w:r>
        <w:rPr>
          <w:color w:val="000000"/>
          <w:shd w:val="clear" w:color="auto" w:fill="FFFFFF"/>
        </w:rPr>
        <w:t>в обществе</w:t>
      </w:r>
      <w:r w:rsidRPr="00AE6884">
        <w:rPr>
          <w:color w:val="000000"/>
          <w:shd w:val="clear" w:color="auto" w:fill="FFFFFF"/>
        </w:rPr>
        <w:t xml:space="preserve">: </w:t>
      </w:r>
    </w:p>
    <w:p w:rsidR="006F1885" w:rsidRPr="00AE6884" w:rsidRDefault="006F1885" w:rsidP="006F1885">
      <w:pPr>
        <w:numPr>
          <w:ilvl w:val="0"/>
          <w:numId w:val="12"/>
        </w:numPr>
        <w:tabs>
          <w:tab w:val="clear" w:pos="720"/>
          <w:tab w:val="num" w:pos="0"/>
          <w:tab w:val="left" w:pos="284"/>
        </w:tabs>
        <w:autoSpaceDE/>
        <w:autoSpaceDN/>
        <w:ind w:left="0" w:hanging="11"/>
        <w:jc w:val="both"/>
        <w:rPr>
          <w:szCs w:val="22"/>
        </w:rPr>
      </w:pPr>
      <w:r w:rsidRPr="00AE6884">
        <w:rPr>
          <w:color w:val="000000"/>
          <w:shd w:val="clear" w:color="auto" w:fill="FFFFFF"/>
        </w:rPr>
        <w:t xml:space="preserve">проверка систем внутреннего контроля для определения уровня эффективности работы подразделений с целью охраны интересов компании, работников и акционеров; </w:t>
      </w:r>
    </w:p>
    <w:p w:rsidR="006F1885" w:rsidRPr="00AE6884" w:rsidRDefault="006F1885" w:rsidP="006F1885">
      <w:pPr>
        <w:numPr>
          <w:ilvl w:val="0"/>
          <w:numId w:val="12"/>
        </w:numPr>
        <w:tabs>
          <w:tab w:val="clear" w:pos="720"/>
          <w:tab w:val="num" w:pos="0"/>
          <w:tab w:val="left" w:pos="284"/>
        </w:tabs>
        <w:autoSpaceDE/>
        <w:autoSpaceDN/>
        <w:ind w:left="0" w:hanging="11"/>
        <w:jc w:val="both"/>
        <w:rPr>
          <w:szCs w:val="22"/>
        </w:rPr>
      </w:pPr>
      <w:r w:rsidRPr="00AE6884">
        <w:rPr>
          <w:color w:val="000000"/>
          <w:shd w:val="clear" w:color="auto" w:fill="FFFFFF"/>
        </w:rPr>
        <w:t xml:space="preserve">разработка целостной системы управления рисками, анализ ее работы, а также создание мероприятий для их снижения; </w:t>
      </w:r>
    </w:p>
    <w:p w:rsidR="006F1885" w:rsidRPr="00AE6884" w:rsidRDefault="006F1885" w:rsidP="006F1885">
      <w:pPr>
        <w:numPr>
          <w:ilvl w:val="0"/>
          <w:numId w:val="12"/>
        </w:numPr>
        <w:tabs>
          <w:tab w:val="clear" w:pos="720"/>
          <w:tab w:val="num" w:pos="0"/>
          <w:tab w:val="left" w:pos="284"/>
        </w:tabs>
        <w:autoSpaceDE/>
        <w:autoSpaceDN/>
        <w:ind w:left="0" w:hanging="11"/>
        <w:jc w:val="both"/>
        <w:rPr>
          <w:szCs w:val="22"/>
        </w:rPr>
      </w:pPr>
      <w:r w:rsidRPr="00AE6884">
        <w:rPr>
          <w:color w:val="000000"/>
          <w:shd w:val="clear" w:color="auto" w:fill="FFFFFF"/>
        </w:rPr>
        <w:t>контроль над соблюдением принципов корпоративного управления.</w:t>
      </w:r>
    </w:p>
    <w:p w:rsidR="006F1885" w:rsidRPr="00AE6884" w:rsidRDefault="006F1885" w:rsidP="006F1885">
      <w:pPr>
        <w:tabs>
          <w:tab w:val="left" w:pos="284"/>
        </w:tabs>
        <w:autoSpaceDE/>
        <w:autoSpaceDN/>
        <w:jc w:val="both"/>
        <w:rPr>
          <w:szCs w:val="22"/>
        </w:rPr>
      </w:pPr>
    </w:p>
    <w:p w:rsidR="006F1885" w:rsidRPr="00AE6884" w:rsidRDefault="006F1885" w:rsidP="006F1885">
      <w:pPr>
        <w:spacing w:after="120"/>
        <w:jc w:val="both"/>
        <w:rPr>
          <w:szCs w:val="22"/>
        </w:rPr>
      </w:pPr>
      <w:r w:rsidRPr="00AE6884">
        <w:t xml:space="preserve">В рамках решения указанных целей внутренний аудит в </w:t>
      </w:r>
      <w:r>
        <w:t>обществе</w:t>
      </w:r>
      <w:r w:rsidRPr="00AE6884">
        <w:t xml:space="preserve"> выполняет следующие функции: координационную,</w:t>
      </w:r>
      <w:r w:rsidRPr="00AE6884">
        <w:rPr>
          <w:szCs w:val="22"/>
        </w:rPr>
        <w:t xml:space="preserve"> </w:t>
      </w:r>
      <w:r w:rsidRPr="00AE6884">
        <w:t>консультационную,</w:t>
      </w:r>
      <w:r w:rsidRPr="00AE6884">
        <w:rPr>
          <w:szCs w:val="22"/>
        </w:rPr>
        <w:t xml:space="preserve"> </w:t>
      </w:r>
      <w:r w:rsidRPr="00AE6884">
        <w:t>контролирующую, оценивающую,</w:t>
      </w:r>
      <w:r w:rsidRPr="00AE6884">
        <w:rPr>
          <w:szCs w:val="22"/>
        </w:rPr>
        <w:t xml:space="preserve"> </w:t>
      </w:r>
      <w:r w:rsidRPr="00AE6884">
        <w:t>аналитическую, предупреждающую, информационную.</w:t>
      </w:r>
    </w:p>
    <w:p w:rsidR="006F1885" w:rsidRPr="00AE6884" w:rsidRDefault="006F1885" w:rsidP="006F1885">
      <w:pPr>
        <w:jc w:val="both"/>
      </w:pPr>
      <w:r w:rsidRPr="00AE6884">
        <w:t>Информация о наличии и компетенции ревизионной комиссии (ревизора): В</w:t>
      </w:r>
      <w:r>
        <w:t xml:space="preserve"> обществе</w:t>
      </w:r>
      <w:r w:rsidRPr="00AE6884">
        <w:t xml:space="preserve"> организована работа ревизионной комиссии, избираемой ежегодно на Годовом Общем собрании акционеров в соответствии с требованиями федеральных законов и локальных нормативных актов. Ревизионная комиссия действует в интересах акционеров общества и в своей деятельности подотчетна общему собранию акционеров общества.</w:t>
      </w:r>
    </w:p>
    <w:p w:rsidR="006F1885" w:rsidRPr="00AE6884" w:rsidRDefault="006F1885" w:rsidP="006F1885">
      <w:pPr>
        <w:jc w:val="both"/>
      </w:pPr>
    </w:p>
    <w:p w:rsidR="006F1885" w:rsidRPr="00AE6884" w:rsidRDefault="006F1885" w:rsidP="006F1885">
      <w:pPr>
        <w:jc w:val="both"/>
      </w:pPr>
      <w:r w:rsidRPr="00AE6884">
        <w:t>Компетенция ревизионной комиссии определяется Федеральным законом «Об акционерных обществах». По вопросам, не предусмотренным Федеральным законом «Об акционерных обществах», компетенция ревизионной комиссии определяется уставом общества и Положением о ревизионной комиссии компании.</w:t>
      </w:r>
    </w:p>
    <w:p w:rsidR="006F1885" w:rsidRPr="00AE6884" w:rsidRDefault="006F1885" w:rsidP="006F1885">
      <w:pPr>
        <w:jc w:val="both"/>
      </w:pPr>
    </w:p>
    <w:p w:rsidR="006F1885" w:rsidRPr="00AE6884" w:rsidRDefault="006F1885" w:rsidP="006F1885">
      <w:pPr>
        <w:spacing w:after="120"/>
      </w:pPr>
      <w:r w:rsidRPr="00AE6884">
        <w:t>К компетенции ревизионной комиссии относятся:</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анализ правильности и полноты ведения бухгалтерского, налогового, управленческого и статистического учета;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проверка правильности исполнения бюджетов общества, утверждаемых советом директоров общества;</w:t>
      </w:r>
      <w:r w:rsidRPr="00AE6884">
        <w:rPr>
          <w:szCs w:val="22"/>
        </w:rPr>
        <w:t xml:space="preserve">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проверка правильности исполнения порядка распределения прибыли общества за отчетный финансовый год, утвержденного общим собранием акционеров;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lastRenderedPageBreak/>
        <w:t xml:space="preserve">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подтверждение достоверности данных, включаемых в годовой отчет (годовые отчеты) общества, годовую бухгалтерскую отчетность, финансовую отчетность, отчетной документации для налоговых и статистических органов, органов государственного управления;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проверка правомочности единоличного исполнительного органа по заключению договоров от имени общества;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проверка правомочности решений, принятых советом директоров, единоличным исполнительным органом, ликвидационной комиссией, их соответствия уставу общества и решениям общего собрания акционеров;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 xml:space="preserve">анализ решений общего собрания на их соответствие закону и уставу общества; </w:t>
      </w:r>
    </w:p>
    <w:p w:rsidR="006F1885" w:rsidRPr="00AE6884" w:rsidRDefault="006F1885" w:rsidP="006F1885">
      <w:pPr>
        <w:numPr>
          <w:ilvl w:val="0"/>
          <w:numId w:val="15"/>
        </w:numPr>
        <w:tabs>
          <w:tab w:val="clear" w:pos="720"/>
          <w:tab w:val="num" w:pos="0"/>
          <w:tab w:val="left" w:pos="284"/>
        </w:tabs>
        <w:autoSpaceDE/>
        <w:autoSpaceDN/>
        <w:ind w:left="0" w:hanging="11"/>
        <w:jc w:val="both"/>
        <w:rPr>
          <w:szCs w:val="22"/>
        </w:rPr>
      </w:pPr>
      <w:r w:rsidRPr="00AE6884">
        <w:t>проверка выполнения решений органов управления общества, анализ выявленных нарушений и выработка рекомендаций.</w:t>
      </w:r>
    </w:p>
    <w:p w:rsidR="006F1885" w:rsidRPr="00AE6884" w:rsidRDefault="006F1885" w:rsidP="006F1885"/>
    <w:p w:rsidR="006F1885" w:rsidRPr="00AE6884" w:rsidRDefault="006F1885" w:rsidP="006F1885">
      <w:pPr>
        <w:spacing w:after="120"/>
        <w:jc w:val="both"/>
      </w:pPr>
      <w:r w:rsidRPr="00AE6884">
        <w:t>Политика эмитента в области управления рисками, внутреннего контроля и внутреннего аудита:</w:t>
      </w:r>
      <w:r w:rsidRPr="00AE6884">
        <w:br/>
        <w:t>Основным документом, регламентирующим управление рисками в компании, является Политика управления рисками Открытого акционерного общества «Сахалинское морское пароходство» (далее «Политика»), утверждённая в 2019 году, со всеми изменениями и дополнениями на текущую дату.</w:t>
      </w:r>
    </w:p>
    <w:p w:rsidR="006F1885" w:rsidRPr="00AE6884" w:rsidRDefault="006F1885" w:rsidP="006F1885">
      <w:pPr>
        <w:spacing w:after="120"/>
        <w:jc w:val="both"/>
      </w:pPr>
      <w:r w:rsidRPr="00AE6884">
        <w:t>Политика является внутренним документом Компании и разработана в соответствии с Гражданским кодексом Российской Федерации, Федеральным законом «Об акционерных обществах» и Уставом Компании, МКУБ, Кодексом ОСПС,  а также с учетом рекомендаций международных профессиональных организаций в области управления рисками, а именно на основании положений Управления рисками организации – серии международных стандартов COSO, Менеджмента риска – серии международных стандартов ИСО 31000:2009, Менеджмента риска – серии стандартов ГОСТ РФ, а также стандартов Федерации европейских ассоциаций риск-менеджеров (FERMA).</w:t>
      </w:r>
    </w:p>
    <w:p w:rsidR="006F1885" w:rsidRDefault="006F1885" w:rsidP="006F1885">
      <w:pPr>
        <w:spacing w:after="120"/>
        <w:jc w:val="both"/>
        <w:rPr>
          <w:highlight w:val="yellow"/>
        </w:rPr>
      </w:pPr>
      <w:r>
        <w:t xml:space="preserve">Для обеспечения сохранности информации составляющую коммерческую тайну, Обществом утверждено в 2023 году Положение о коммерческой тайне ОАО «СахМП», </w:t>
      </w:r>
      <w:r w:rsidRPr="004C0760">
        <w:t>однако различные нормы, регламенты, правила и ограничения содержаться в локальных нормативных актах структурных подразделений, а также в локальных нормативных актах, регламентирующих отдельные бизнес-процессы компании.</w:t>
      </w:r>
    </w:p>
    <w:p w:rsidR="006F1885" w:rsidRPr="006E2A42" w:rsidRDefault="006F1885" w:rsidP="006F1885">
      <w:pPr>
        <w:pStyle w:val="2"/>
        <w:jc w:val="both"/>
        <w:rPr>
          <w:rFonts w:ascii="Times New Roman" w:hAnsi="Times New Roman"/>
          <w:i w:val="0"/>
          <w:sz w:val="22"/>
          <w:szCs w:val="22"/>
        </w:rPr>
      </w:pPr>
      <w:bookmarkStart w:id="19" w:name="_Toc129801837"/>
      <w:r w:rsidRPr="007C5001">
        <w:rPr>
          <w:rFonts w:ascii="Times New Roman" w:hAnsi="Times New Roman"/>
          <w:i w:val="0"/>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19"/>
    </w:p>
    <w:p w:rsidR="006F1885" w:rsidRPr="007051C3" w:rsidRDefault="006F1885" w:rsidP="006F1885">
      <w:pPr>
        <w:jc w:val="both"/>
      </w:pPr>
      <w:r>
        <w:t>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jc w:val="both"/>
        <w:rPr>
          <w:rStyle w:val="Subst"/>
          <w:bCs/>
          <w:i w:val="0"/>
          <w:iCs/>
        </w:rPr>
      </w:pPr>
    </w:p>
    <w:p w:rsidR="006F1885" w:rsidRPr="006644D2" w:rsidRDefault="006F1885" w:rsidP="006F1885">
      <w:pPr>
        <w:pStyle w:val="2"/>
        <w:jc w:val="both"/>
        <w:rPr>
          <w:rFonts w:ascii="Times New Roman" w:hAnsi="Times New Roman"/>
          <w:i w:val="0"/>
          <w:sz w:val="22"/>
          <w:szCs w:val="22"/>
        </w:rPr>
      </w:pPr>
      <w:bookmarkStart w:id="20" w:name="_Toc129801838"/>
      <w:r w:rsidRPr="006644D2">
        <w:rPr>
          <w:rFonts w:ascii="Times New Roman" w:hAnsi="Times New Roman"/>
          <w:i w:val="0"/>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20"/>
    </w:p>
    <w:p w:rsidR="006F1885" w:rsidRDefault="006F1885" w:rsidP="006F1885">
      <w:pPr>
        <w:jc w:val="both"/>
        <w:rPr>
          <w:rStyle w:val="Subst"/>
          <w:bCs/>
          <w:i w:val="0"/>
          <w:iCs/>
        </w:rPr>
      </w:pPr>
      <w:r w:rsidRPr="00240C92">
        <w:rPr>
          <w:rStyle w:val="Subst"/>
          <w:b w:val="0"/>
          <w:bCs/>
          <w:i w:val="0"/>
          <w:iCs/>
        </w:rPr>
        <w:t>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r>
        <w:rPr>
          <w:rStyle w:val="Subst"/>
          <w:b w:val="0"/>
          <w:bCs/>
          <w:i w:val="0"/>
          <w:iCs/>
        </w:rPr>
        <w:t>.</w:t>
      </w:r>
    </w:p>
    <w:p w:rsidR="006F1885" w:rsidRDefault="006F1885" w:rsidP="006F1885">
      <w:pPr>
        <w:jc w:val="both"/>
        <w:rPr>
          <w:rStyle w:val="Subst"/>
          <w:bCs/>
          <w:i w:val="0"/>
          <w:iCs/>
        </w:rPr>
      </w:pPr>
    </w:p>
    <w:p w:rsidR="006F1885" w:rsidRDefault="006F1885" w:rsidP="006F1885">
      <w:pPr>
        <w:jc w:val="both"/>
        <w:rPr>
          <w:rStyle w:val="Subst"/>
          <w:bCs/>
          <w:i w:val="0"/>
          <w:iCs/>
        </w:rPr>
      </w:pPr>
    </w:p>
    <w:p w:rsidR="006F1885" w:rsidRPr="00055B04" w:rsidRDefault="006F1885" w:rsidP="006F1885">
      <w:pPr>
        <w:pStyle w:val="2"/>
        <w:jc w:val="both"/>
        <w:rPr>
          <w:rFonts w:ascii="Times New Roman" w:eastAsiaTheme="minorEastAsia" w:hAnsi="Times New Roman"/>
          <w:i w:val="0"/>
          <w:iCs w:val="0"/>
        </w:rPr>
      </w:pPr>
      <w:bookmarkStart w:id="21" w:name="_Toc129801839"/>
      <w:r w:rsidRPr="00055B04">
        <w:rPr>
          <w:rFonts w:ascii="Times New Roman" w:eastAsiaTheme="minorEastAsia" w:hAnsi="Times New Roman"/>
          <w:i w:val="0"/>
          <w:iCs w:val="0"/>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21"/>
    </w:p>
    <w:p w:rsidR="006F1885" w:rsidRPr="00461D0D" w:rsidRDefault="006F1885" w:rsidP="006F1885">
      <w:pPr>
        <w:pStyle w:val="2"/>
        <w:spacing w:before="0"/>
        <w:rPr>
          <w:rFonts w:ascii="Times New Roman" w:eastAsiaTheme="minorEastAsia" w:hAnsi="Times New Roman"/>
          <w:i w:val="0"/>
          <w:iCs w:val="0"/>
          <w:sz w:val="22"/>
          <w:szCs w:val="22"/>
        </w:rPr>
      </w:pPr>
      <w:bookmarkStart w:id="22" w:name="_Toc129801840"/>
      <w:r w:rsidRPr="00055B04">
        <w:rPr>
          <w:rFonts w:ascii="Times New Roman" w:eastAsiaTheme="minorEastAsia" w:hAnsi="Times New Roman"/>
          <w:i w:val="0"/>
          <w:iCs w:val="0"/>
          <w:sz w:val="22"/>
          <w:szCs w:val="22"/>
        </w:rPr>
        <w:t>3.1. Сведения об общем количестве акционеров (участников, членов) эмитента</w:t>
      </w:r>
      <w:bookmarkEnd w:id="22"/>
    </w:p>
    <w:p w:rsidR="006F1885" w:rsidRDefault="006F1885" w:rsidP="006F1885">
      <w:pPr>
        <w:adjustRightInd w:val="0"/>
        <w:jc w:val="both"/>
        <w:rPr>
          <w:rFonts w:eastAsiaTheme="minorEastAsia"/>
        </w:rPr>
      </w:pPr>
      <w:r w:rsidRPr="0095486A">
        <w:rPr>
          <w:bCs/>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6F1885" w:rsidRDefault="006F1885" w:rsidP="006F1885">
      <w:pPr>
        <w:adjustRightInd w:val="0"/>
        <w:jc w:val="both"/>
        <w:rPr>
          <w:rFonts w:eastAsiaTheme="minorEastAsia"/>
        </w:rPr>
      </w:pPr>
    </w:p>
    <w:p w:rsidR="006F1885" w:rsidRPr="00B24E36" w:rsidRDefault="006F1885" w:rsidP="006F1885">
      <w:pPr>
        <w:adjustRightInd w:val="0"/>
        <w:jc w:val="both"/>
        <w:rPr>
          <w:rStyle w:val="Subst"/>
          <w:bCs/>
          <w:i w:val="0"/>
          <w:iCs/>
        </w:rPr>
      </w:pPr>
      <w:r>
        <w:rPr>
          <w:rFonts w:eastAsiaTheme="minorEastAsia"/>
        </w:rPr>
        <w:t>О</w:t>
      </w:r>
      <w:r w:rsidRPr="00240C92">
        <w:rPr>
          <w:rFonts w:eastAsiaTheme="minorEastAsia"/>
        </w:rPr>
        <w:t>бщее количество лиц с ненулевыми остатками на лицевых счетах, зарегистрированных в реестре акционеров эмитента на дату окончан</w:t>
      </w:r>
      <w:r>
        <w:rPr>
          <w:rFonts w:eastAsiaTheme="minorEastAsia"/>
        </w:rPr>
        <w:t xml:space="preserve">ия последнего отчетного периода: </w:t>
      </w:r>
      <w:r w:rsidRPr="00272F7E">
        <w:rPr>
          <w:rStyle w:val="Subst"/>
          <w:bCs/>
          <w:i w:val="0"/>
          <w:iCs/>
        </w:rPr>
        <w:t>48</w:t>
      </w:r>
      <w:r>
        <w:rPr>
          <w:rStyle w:val="Subst"/>
          <w:bCs/>
          <w:i w:val="0"/>
          <w:iCs/>
        </w:rPr>
        <w:t>3</w:t>
      </w:r>
      <w:r w:rsidRPr="00B24E36">
        <w:rPr>
          <w:rStyle w:val="Subst"/>
          <w:bCs/>
          <w:i w:val="0"/>
          <w:iCs/>
        </w:rPr>
        <w:t>1</w:t>
      </w:r>
    </w:p>
    <w:p w:rsidR="006F1885" w:rsidRDefault="006F1885" w:rsidP="006F1885">
      <w:pPr>
        <w:adjustRightInd w:val="0"/>
        <w:jc w:val="both"/>
        <w:rPr>
          <w:rFonts w:eastAsiaTheme="minorEastAsia"/>
          <w:b/>
        </w:rPr>
      </w:pPr>
      <w:r>
        <w:rPr>
          <w:rFonts w:eastAsiaTheme="minorEastAsia"/>
        </w:rPr>
        <w:t>О</w:t>
      </w:r>
      <w:r w:rsidRPr="00240C92">
        <w:rPr>
          <w:rFonts w:eastAsiaTheme="minorEastAsia"/>
        </w:rPr>
        <w:t>бщее количество номина</w:t>
      </w:r>
      <w:r>
        <w:rPr>
          <w:rFonts w:eastAsiaTheme="minorEastAsia"/>
        </w:rPr>
        <w:t xml:space="preserve">льных держателей акций эмитента: </w:t>
      </w:r>
      <w:r w:rsidRPr="00272F7E">
        <w:rPr>
          <w:rFonts w:eastAsiaTheme="minorEastAsia"/>
          <w:b/>
        </w:rPr>
        <w:t>3</w:t>
      </w:r>
    </w:p>
    <w:p w:rsidR="006F1885" w:rsidRDefault="006F1885" w:rsidP="006F1885">
      <w:pPr>
        <w:adjustRightInd w:val="0"/>
        <w:jc w:val="both"/>
        <w:rPr>
          <w:rFonts w:eastAsiaTheme="minorEastAsia"/>
          <w:b/>
        </w:rPr>
      </w:pPr>
      <w:r>
        <w:rPr>
          <w:rFonts w:eastAsiaTheme="minorEastAsia"/>
        </w:rPr>
        <w:t>О</w:t>
      </w:r>
      <w:r w:rsidRPr="00240C92">
        <w:rPr>
          <w:rFonts w:eastAsiaTheme="minorEastAsia"/>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w:t>
      </w:r>
      <w:r>
        <w:rPr>
          <w:rFonts w:eastAsiaTheme="minorEastAsia"/>
        </w:rPr>
        <w:t xml:space="preserve">ний имеющийся у эмитента список: </w:t>
      </w:r>
      <w:r w:rsidRPr="00272F7E">
        <w:rPr>
          <w:rFonts w:eastAsiaTheme="minorEastAsia"/>
          <w:b/>
        </w:rPr>
        <w:t>48</w:t>
      </w:r>
      <w:r>
        <w:rPr>
          <w:rFonts w:eastAsiaTheme="minorEastAsia"/>
          <w:b/>
        </w:rPr>
        <w:t>57</w:t>
      </w:r>
    </w:p>
    <w:p w:rsidR="006F1885" w:rsidRDefault="006F1885" w:rsidP="006F1885">
      <w:pPr>
        <w:adjustRightInd w:val="0"/>
        <w:jc w:val="both"/>
        <w:rPr>
          <w:rFonts w:eastAsiaTheme="minorEastAsia"/>
          <w:b/>
        </w:rPr>
      </w:pPr>
      <w:r>
        <w:rPr>
          <w:rFonts w:eastAsiaTheme="minorEastAsia"/>
        </w:rPr>
        <w:t>Д</w:t>
      </w:r>
      <w:r w:rsidRPr="00240C92">
        <w:rPr>
          <w:rFonts w:eastAsiaTheme="minorEastAsia"/>
        </w:rPr>
        <w:t>ат</w:t>
      </w:r>
      <w:r>
        <w:rPr>
          <w:rFonts w:eastAsiaTheme="minorEastAsia"/>
        </w:rPr>
        <w:t>а</w:t>
      </w:r>
      <w:r w:rsidRPr="00240C92">
        <w:rPr>
          <w:rFonts w:eastAsiaTheme="minorEastAsia"/>
        </w:rPr>
        <w:t xml:space="preserve">, на которую в </w:t>
      </w:r>
      <w:r>
        <w:rPr>
          <w:rFonts w:eastAsiaTheme="minorEastAsia"/>
        </w:rPr>
        <w:t>данн</w:t>
      </w:r>
      <w:r w:rsidRPr="00240C92">
        <w:rPr>
          <w:rFonts w:eastAsiaTheme="minorEastAsia"/>
        </w:rPr>
        <w:t>ом списке указывались лица, имеющие право осущес</w:t>
      </w:r>
      <w:r>
        <w:rPr>
          <w:rFonts w:eastAsiaTheme="minorEastAsia"/>
        </w:rPr>
        <w:t xml:space="preserve">твлять права по акциям эмитента: </w:t>
      </w:r>
      <w:r w:rsidRPr="00D91281">
        <w:rPr>
          <w:rFonts w:eastAsiaTheme="minorEastAsia"/>
          <w:b/>
        </w:rPr>
        <w:t>27</w:t>
      </w:r>
      <w:r w:rsidRPr="00272F7E">
        <w:rPr>
          <w:rFonts w:eastAsiaTheme="minorEastAsia"/>
          <w:b/>
        </w:rPr>
        <w:t>.</w:t>
      </w:r>
      <w:r>
        <w:rPr>
          <w:rFonts w:eastAsiaTheme="minorEastAsia"/>
          <w:b/>
        </w:rPr>
        <w:t>08</w:t>
      </w:r>
      <w:r w:rsidRPr="00272F7E">
        <w:rPr>
          <w:rFonts w:eastAsiaTheme="minorEastAsia"/>
          <w:b/>
        </w:rPr>
        <w:t>.202</w:t>
      </w:r>
      <w:r>
        <w:rPr>
          <w:rFonts w:eastAsiaTheme="minorEastAsia"/>
          <w:b/>
        </w:rPr>
        <w:t xml:space="preserve">2 </w:t>
      </w:r>
      <w:r w:rsidRPr="00272F7E">
        <w:rPr>
          <w:rFonts w:eastAsiaTheme="minorEastAsia"/>
          <w:b/>
        </w:rPr>
        <w:t>г.</w:t>
      </w:r>
    </w:p>
    <w:p w:rsidR="006F1885" w:rsidRPr="00272F7E" w:rsidRDefault="006F1885" w:rsidP="006F1885">
      <w:pPr>
        <w:adjustRightInd w:val="0"/>
        <w:jc w:val="both"/>
        <w:rPr>
          <w:rFonts w:eastAsiaTheme="minorEastAsia"/>
          <w:b/>
        </w:rPr>
      </w:pPr>
      <w:r>
        <w:t>Владельцы обыкновенных акций эмитента, которые подлежали включению в такой список:</w:t>
      </w:r>
      <w:r>
        <w:rPr>
          <w:rStyle w:val="Subst"/>
          <w:bCs/>
          <w:iCs/>
        </w:rPr>
        <w:t xml:space="preserve"> </w:t>
      </w:r>
      <w:r>
        <w:rPr>
          <w:rStyle w:val="Subst"/>
          <w:bCs/>
          <w:i w:val="0"/>
          <w:iCs/>
        </w:rPr>
        <w:t>4</w:t>
      </w:r>
      <w:r w:rsidRPr="00272F7E">
        <w:rPr>
          <w:rStyle w:val="Subst"/>
          <w:bCs/>
          <w:i w:val="0"/>
          <w:iCs/>
        </w:rPr>
        <w:t>8</w:t>
      </w:r>
      <w:r>
        <w:rPr>
          <w:rStyle w:val="Subst"/>
          <w:bCs/>
          <w:i w:val="0"/>
          <w:iCs/>
        </w:rPr>
        <w:t>57</w:t>
      </w:r>
    </w:p>
    <w:p w:rsidR="006F1885" w:rsidRPr="003B526C" w:rsidRDefault="006F1885" w:rsidP="006F1885">
      <w:pPr>
        <w:adjustRightInd w:val="0"/>
        <w:jc w:val="both"/>
        <w:rPr>
          <w:rFonts w:eastAsiaTheme="minorEastAsia"/>
          <w:i/>
        </w:rPr>
      </w:pPr>
      <w:r>
        <w:rPr>
          <w:rFonts w:eastAsiaTheme="minorEastAsia"/>
        </w:rPr>
        <w:t>И</w:t>
      </w:r>
      <w:r w:rsidRPr="00240C92">
        <w:rPr>
          <w:rFonts w:eastAsiaTheme="minorEastAsia"/>
        </w:rPr>
        <w:t>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r>
        <w:rPr>
          <w:rFonts w:eastAsiaTheme="minorEastAsia"/>
        </w:rPr>
        <w:t xml:space="preserve">: </w:t>
      </w:r>
      <w:r w:rsidRPr="003B526C">
        <w:rPr>
          <w:rStyle w:val="Subst"/>
          <w:bCs/>
          <w:i w:val="0"/>
          <w:iCs/>
        </w:rPr>
        <w:t>Собственных акций, находящихся на балансе эмитента нет</w:t>
      </w:r>
    </w:p>
    <w:p w:rsidR="006F1885" w:rsidRPr="003B526C" w:rsidRDefault="006F1885" w:rsidP="006F1885">
      <w:pPr>
        <w:jc w:val="both"/>
        <w:rPr>
          <w:rStyle w:val="Subst"/>
          <w:bCs/>
          <w:i w:val="0"/>
          <w:iCs/>
        </w:rPr>
      </w:pPr>
      <w:r>
        <w:rPr>
          <w:rFonts w:eastAsiaTheme="minorEastAsia"/>
        </w:rPr>
        <w:t>И</w:t>
      </w:r>
      <w:r w:rsidRPr="00240C92">
        <w:rPr>
          <w:rFonts w:eastAsiaTheme="minorEastAsia"/>
        </w:rPr>
        <w:t>нформация о количестве акций эмитента, принадлежащих подконтрольным им организациям, отдельно по каждой категории (типу) акций</w:t>
      </w:r>
      <w:r>
        <w:rPr>
          <w:rFonts w:eastAsiaTheme="minorEastAsia"/>
        </w:rPr>
        <w:t xml:space="preserve">: </w:t>
      </w:r>
      <w:r w:rsidRPr="003B526C">
        <w:rPr>
          <w:rStyle w:val="Subst"/>
          <w:bCs/>
          <w:i w:val="0"/>
          <w:iCs/>
        </w:rPr>
        <w:t>Акций эмитента, принадлежащих подконтрольным ему организациям нет</w:t>
      </w:r>
    </w:p>
    <w:p w:rsidR="006F1885" w:rsidRPr="0056515B" w:rsidRDefault="006F1885" w:rsidP="006F1885">
      <w:pPr>
        <w:ind w:firstLine="284"/>
        <w:jc w:val="both"/>
        <w:rPr>
          <w:rFonts w:eastAsiaTheme="majorEastAsia"/>
          <w:b/>
          <w:bCs/>
          <w:iCs/>
          <w:color w:val="7030A0"/>
          <w:sz w:val="22"/>
          <w:szCs w:val="22"/>
        </w:rPr>
      </w:pPr>
    </w:p>
    <w:p w:rsidR="006F1885" w:rsidRPr="007506FC" w:rsidRDefault="006F1885" w:rsidP="006F1885">
      <w:pPr>
        <w:pStyle w:val="2"/>
        <w:jc w:val="both"/>
        <w:rPr>
          <w:rFonts w:ascii="Times New Roman" w:eastAsiaTheme="minorEastAsia" w:hAnsi="Times New Roman"/>
          <w:i w:val="0"/>
          <w:iCs w:val="0"/>
          <w:sz w:val="22"/>
          <w:szCs w:val="22"/>
        </w:rPr>
      </w:pPr>
      <w:bookmarkStart w:id="23" w:name="_Toc129801841"/>
      <w:r w:rsidRPr="00055B04">
        <w:rPr>
          <w:rFonts w:ascii="Times New Roman" w:eastAsiaTheme="minorEastAsia" w:hAnsi="Times New Roman"/>
          <w:i w:val="0"/>
          <w:iCs w:val="0"/>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23"/>
    </w:p>
    <w:p w:rsidR="006F1885" w:rsidRPr="00655956" w:rsidRDefault="006F1885" w:rsidP="006F1885">
      <w:pPr>
        <w:ind w:right="-2"/>
        <w:jc w:val="both"/>
        <w:rPr>
          <w:i/>
        </w:rPr>
      </w:pPr>
      <w:r>
        <w:t>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ind w:right="-2"/>
        <w:jc w:val="both"/>
        <w:rPr>
          <w:rStyle w:val="Subst"/>
          <w:i w:val="0"/>
        </w:rPr>
      </w:pPr>
    </w:p>
    <w:p w:rsidR="006F1885" w:rsidRPr="008C4D29" w:rsidRDefault="006F1885" w:rsidP="006F1885">
      <w:pPr>
        <w:pStyle w:val="2"/>
        <w:jc w:val="both"/>
        <w:rPr>
          <w:rFonts w:ascii="Times New Roman" w:hAnsi="Times New Roman"/>
          <w:i w:val="0"/>
          <w:iCs w:val="0"/>
          <w:sz w:val="22"/>
          <w:szCs w:val="22"/>
        </w:rPr>
      </w:pPr>
      <w:bookmarkStart w:id="24" w:name="_Toc129801842"/>
      <w:r w:rsidRPr="008C4D29">
        <w:rPr>
          <w:rFonts w:ascii="Times New Roman" w:hAnsi="Times New Roman"/>
          <w:i w:val="0"/>
          <w:iCs w:val="0"/>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24"/>
    </w:p>
    <w:p w:rsidR="006F1885" w:rsidRPr="00A85D60" w:rsidRDefault="006F1885" w:rsidP="006F1885">
      <w:pPr>
        <w:jc w:val="both"/>
      </w:pPr>
      <w:r w:rsidRPr="00A85D60">
        <w:rPr>
          <w:rStyle w:val="Subst"/>
          <w:b w:val="0"/>
          <w:bCs/>
          <w:i w:val="0"/>
          <w:iCs/>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6F1885" w:rsidRPr="00A85D60" w:rsidRDefault="006F1885" w:rsidP="006F1885">
      <w:pPr>
        <w:jc w:val="both"/>
      </w:pPr>
      <w:r w:rsidRPr="00A85D60">
        <w:rPr>
          <w:rStyle w:val="Subst"/>
          <w:b w:val="0"/>
          <w:bCs/>
          <w:i w:val="0"/>
          <w:iCs/>
        </w:rPr>
        <w:t>В уставном капитале эмитента нет долей, находящихся в государственной (федеральной) собственности.</w:t>
      </w:r>
    </w:p>
    <w:p w:rsidR="006F1885" w:rsidRPr="00A85D60" w:rsidRDefault="006F1885" w:rsidP="006F1885">
      <w:pPr>
        <w:jc w:val="both"/>
      </w:pPr>
      <w:r w:rsidRPr="00A85D60">
        <w:rPr>
          <w:rStyle w:val="Subst"/>
          <w:b w:val="0"/>
          <w:bCs/>
          <w:i w:val="0"/>
          <w:iCs/>
        </w:rPr>
        <w:t>В уставном капитале эмитента нет долей, находящихся в собственности субъектов Российской Федерации.</w:t>
      </w:r>
    </w:p>
    <w:p w:rsidR="006F1885" w:rsidRPr="00A85D60" w:rsidRDefault="006F1885" w:rsidP="006F1885">
      <w:pPr>
        <w:jc w:val="both"/>
      </w:pPr>
      <w:r w:rsidRPr="00A85D60">
        <w:t>Размер доли уставного капитала эмитента, находящейся в муниципальной собственности:</w:t>
      </w:r>
      <w:r>
        <w:t xml:space="preserve"> </w:t>
      </w:r>
      <w:r w:rsidRPr="00A85D60">
        <w:rPr>
          <w:rStyle w:val="Subst"/>
          <w:b w:val="0"/>
          <w:bCs/>
          <w:i w:val="0"/>
          <w:iCs/>
        </w:rPr>
        <w:t>В уставном капитале эмитента нет долей, находящихся в муниципальной собственности.</w:t>
      </w:r>
    </w:p>
    <w:p w:rsidR="006F1885" w:rsidRPr="0056515B" w:rsidRDefault="006F1885" w:rsidP="006F1885">
      <w:pPr>
        <w:pStyle w:val="SubHeading"/>
        <w:spacing w:before="0" w:after="0"/>
        <w:jc w:val="both"/>
      </w:pPr>
      <w:r w:rsidRPr="0056515B">
        <w:t>Сведения об управляющих государственными, муниципальными пакетами акций</w:t>
      </w:r>
      <w:r>
        <w:t xml:space="preserve">: </w:t>
      </w:r>
      <w:r w:rsidRPr="0056515B">
        <w:rPr>
          <w:rStyle w:val="Subst"/>
          <w:bCs/>
          <w:i w:val="0"/>
          <w:iCs/>
        </w:rPr>
        <w:t>Указанных лиц нет</w:t>
      </w:r>
    </w:p>
    <w:p w:rsidR="006F1885" w:rsidRPr="0056515B" w:rsidRDefault="006F1885" w:rsidP="006F1885">
      <w:pPr>
        <w:pStyle w:val="SubHeading"/>
        <w:jc w:val="both"/>
      </w:pPr>
      <w:r w:rsidRPr="0056515B">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r>
        <w:t xml:space="preserve">: </w:t>
      </w:r>
      <w:r w:rsidRPr="0056515B">
        <w:rPr>
          <w:rStyle w:val="Subst"/>
          <w:bCs/>
          <w:i w:val="0"/>
          <w:iCs/>
        </w:rPr>
        <w:t>Указанных лиц нет</w:t>
      </w:r>
    </w:p>
    <w:p w:rsidR="006F1885" w:rsidRDefault="006F1885" w:rsidP="006F1885">
      <w:pPr>
        <w:pStyle w:val="SubHeading"/>
        <w:jc w:val="both"/>
        <w:rPr>
          <w:rStyle w:val="Subst"/>
          <w:bCs/>
          <w:i w:val="0"/>
          <w:iCs/>
        </w:rPr>
      </w:pPr>
      <w:r w:rsidRPr="0056515B">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r>
        <w:t xml:space="preserve">: </w:t>
      </w:r>
      <w:r w:rsidRPr="0056515B">
        <w:rPr>
          <w:rStyle w:val="Subst"/>
          <w:bCs/>
          <w:i w:val="0"/>
          <w:iCs/>
        </w:rPr>
        <w:t>Указанное право не предусмотрено</w:t>
      </w:r>
    </w:p>
    <w:p w:rsidR="006F1885" w:rsidRPr="0056515B" w:rsidRDefault="006F1885" w:rsidP="006F1885">
      <w:pPr>
        <w:pStyle w:val="2"/>
        <w:rPr>
          <w:rFonts w:ascii="Times New Roman" w:hAnsi="Times New Roman"/>
          <w:i w:val="0"/>
          <w:iCs w:val="0"/>
          <w:sz w:val="22"/>
          <w:szCs w:val="22"/>
        </w:rPr>
      </w:pPr>
      <w:bookmarkStart w:id="25" w:name="_Toc129801843"/>
      <w:r w:rsidRPr="0056515B">
        <w:rPr>
          <w:rFonts w:ascii="Times New Roman" w:hAnsi="Times New Roman"/>
          <w:i w:val="0"/>
          <w:iCs w:val="0"/>
          <w:sz w:val="22"/>
          <w:szCs w:val="22"/>
        </w:rPr>
        <w:lastRenderedPageBreak/>
        <w:t>3.4. Сделки эмитента, в совершении которых имелась заинтересованность</w:t>
      </w:r>
      <w:bookmarkEnd w:id="25"/>
    </w:p>
    <w:p w:rsidR="006F1885" w:rsidRPr="002B40C8" w:rsidRDefault="006F1885" w:rsidP="006F1885">
      <w:pPr>
        <w:jc w:val="both"/>
        <w:rPr>
          <w:b/>
          <w:i/>
        </w:rPr>
      </w:pPr>
      <w:r w:rsidRPr="002B40C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r>
        <w:rPr>
          <w:rStyle w:val="Subst"/>
          <w:b w:val="0"/>
          <w:bCs/>
          <w:i w:val="0"/>
          <w:iCs/>
        </w:rPr>
        <w:t>.</w:t>
      </w:r>
    </w:p>
    <w:p w:rsidR="006F1885" w:rsidRPr="0056515B" w:rsidRDefault="006F1885" w:rsidP="006F1885">
      <w:pPr>
        <w:pStyle w:val="2"/>
        <w:rPr>
          <w:rFonts w:ascii="Times New Roman" w:hAnsi="Times New Roman"/>
          <w:i w:val="0"/>
          <w:iCs w:val="0"/>
          <w:sz w:val="22"/>
          <w:szCs w:val="22"/>
        </w:rPr>
      </w:pPr>
      <w:bookmarkStart w:id="26" w:name="_Toc129801844"/>
      <w:r w:rsidRPr="0056515B">
        <w:rPr>
          <w:rFonts w:ascii="Times New Roman" w:hAnsi="Times New Roman"/>
          <w:i w:val="0"/>
          <w:iCs w:val="0"/>
          <w:sz w:val="22"/>
          <w:szCs w:val="22"/>
        </w:rPr>
        <w:t>3.5. Крупные сделки эмитента</w:t>
      </w:r>
      <w:bookmarkEnd w:id="26"/>
    </w:p>
    <w:p w:rsidR="006F1885" w:rsidRPr="002B40C8" w:rsidRDefault="006F1885" w:rsidP="006F1885">
      <w:pPr>
        <w:jc w:val="both"/>
        <w:rPr>
          <w:b/>
          <w:i/>
        </w:rPr>
      </w:pPr>
      <w:r w:rsidRPr="002B40C8">
        <w:rPr>
          <w:rStyle w:val="Subst"/>
          <w:b w:val="0"/>
          <w:bCs/>
          <w:i w:val="0"/>
          <w:iCs/>
        </w:rPr>
        <w:t>Информация в настоящем пункте не приводится в связи с тем, что у эмитента отсутствуют ценные бумаги, допущенные к организованным торгам</w:t>
      </w:r>
      <w:r>
        <w:rPr>
          <w:rStyle w:val="Subst"/>
          <w:b w:val="0"/>
          <w:bCs/>
          <w:i w:val="0"/>
          <w:iCs/>
        </w:rPr>
        <w:t>.</w:t>
      </w:r>
    </w:p>
    <w:p w:rsidR="006F1885" w:rsidRDefault="006F1885" w:rsidP="006F1885">
      <w:pPr>
        <w:jc w:val="both"/>
        <w:rPr>
          <w:rStyle w:val="Subst"/>
          <w:bCs/>
          <w:i w:val="0"/>
          <w:iCs/>
        </w:rPr>
      </w:pPr>
    </w:p>
    <w:p w:rsidR="006F1885" w:rsidRDefault="006F1885" w:rsidP="006F1885">
      <w:pPr>
        <w:jc w:val="both"/>
        <w:rPr>
          <w:rStyle w:val="Subst"/>
          <w:bCs/>
          <w:i w:val="0"/>
          <w:iCs/>
        </w:rPr>
      </w:pPr>
    </w:p>
    <w:p w:rsidR="006F1885" w:rsidRDefault="006F1885" w:rsidP="006F1885">
      <w:pPr>
        <w:pStyle w:val="2"/>
        <w:jc w:val="both"/>
        <w:rPr>
          <w:rFonts w:ascii="Times New Roman" w:hAnsi="Times New Roman"/>
          <w:i w:val="0"/>
        </w:rPr>
      </w:pPr>
      <w:bookmarkStart w:id="27" w:name="_Toc129801845"/>
      <w:r w:rsidRPr="000446FC">
        <w:rPr>
          <w:rFonts w:ascii="Times New Roman" w:hAnsi="Times New Roman"/>
          <w:i w:val="0"/>
        </w:rPr>
        <w:t>Раздел 4. Дополнительные сведения об эмитенте и о размещенных им ценных бумагах</w:t>
      </w:r>
      <w:bookmarkEnd w:id="27"/>
    </w:p>
    <w:p w:rsidR="006F1885" w:rsidRPr="00EA60B0" w:rsidRDefault="006F1885" w:rsidP="006F1885">
      <w:pPr>
        <w:pStyle w:val="2"/>
        <w:spacing w:before="0" w:after="0"/>
        <w:jc w:val="both"/>
        <w:rPr>
          <w:rFonts w:ascii="Times New Roman" w:hAnsi="Times New Roman"/>
          <w:i w:val="0"/>
          <w:sz w:val="22"/>
          <w:szCs w:val="22"/>
        </w:rPr>
      </w:pPr>
      <w:bookmarkStart w:id="28" w:name="_Toc129801846"/>
      <w:r w:rsidRPr="00EA60B0">
        <w:rPr>
          <w:rFonts w:ascii="Times New Roman" w:hAnsi="Times New Roman"/>
          <w:i w:val="0"/>
          <w:sz w:val="22"/>
          <w:szCs w:val="22"/>
        </w:rPr>
        <w:t>4.1. Подконтрольные эмитенту организации, имеющие для него существенное значение</w:t>
      </w:r>
      <w:bookmarkEnd w:id="28"/>
    </w:p>
    <w:p w:rsidR="006F1885" w:rsidRDefault="006F1885" w:rsidP="006F1885">
      <w:pPr>
        <w:jc w:val="both"/>
        <w:rPr>
          <w:b/>
        </w:rPr>
      </w:pPr>
    </w:p>
    <w:p w:rsidR="006F1885" w:rsidRDefault="006F1885" w:rsidP="006F1885">
      <w:pPr>
        <w:jc w:val="both"/>
        <w:rPr>
          <w:b/>
        </w:rPr>
      </w:pPr>
      <w:r>
        <w:t>Информация не раскрывается в соответствии с применением эмитентом Постановления Правительства РФ от 12.03.2022 № 351 «Об особенностях раскрытия и предоставления информации, подлежащей раскрытию и предоставлению в соответствии с требованиями Федерального закона «Об акционерных обществах» и Федерального закона «О рынке ценных бумаг», и особенностях раскрытия инсайдерской информации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F1885" w:rsidRDefault="006F1885" w:rsidP="006F1885">
      <w:pPr>
        <w:jc w:val="both"/>
        <w:rPr>
          <w:b/>
        </w:rPr>
      </w:pPr>
    </w:p>
    <w:p w:rsidR="006F1885" w:rsidRPr="00EA60B0" w:rsidRDefault="006F1885" w:rsidP="006F1885">
      <w:pPr>
        <w:pStyle w:val="2"/>
        <w:jc w:val="both"/>
        <w:rPr>
          <w:rFonts w:ascii="Times New Roman" w:hAnsi="Times New Roman"/>
          <w:i w:val="0"/>
          <w:sz w:val="22"/>
          <w:szCs w:val="22"/>
        </w:rPr>
      </w:pPr>
      <w:bookmarkStart w:id="29" w:name="_Toc129801847"/>
      <w:r w:rsidRPr="00EA60B0">
        <w:rPr>
          <w:rFonts w:ascii="Times New Roman" w:hAnsi="Times New Roman"/>
          <w:i w:val="0"/>
          <w:sz w:val="22"/>
          <w:szCs w:val="22"/>
        </w:rPr>
        <w:t>4.2. Дополнительные сведения, раскрываемые эмитентами облигаций с целевым использованием денежных средств, полученных от их размещения</w:t>
      </w:r>
      <w:bookmarkEnd w:id="29"/>
    </w:p>
    <w:p w:rsidR="006F1885" w:rsidRPr="004279E2" w:rsidRDefault="006F1885" w:rsidP="006F1885">
      <w:pPr>
        <w:jc w:val="both"/>
      </w:pPr>
      <w:r w:rsidRPr="004279E2">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rsidR="006F1885" w:rsidRPr="00EA60B0" w:rsidRDefault="006F1885" w:rsidP="006F1885">
      <w:pPr>
        <w:pStyle w:val="2"/>
        <w:jc w:val="both"/>
        <w:rPr>
          <w:rFonts w:ascii="Times New Roman" w:hAnsi="Times New Roman"/>
          <w:i w:val="0"/>
          <w:sz w:val="22"/>
          <w:szCs w:val="22"/>
        </w:rPr>
      </w:pPr>
      <w:bookmarkStart w:id="30" w:name="_Toc129801848"/>
      <w:r w:rsidRPr="00EA60B0">
        <w:rPr>
          <w:rFonts w:ascii="Times New Roman" w:hAnsi="Times New Roman"/>
          <w:i w:val="0"/>
          <w:sz w:val="22"/>
          <w:szCs w:val="22"/>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0"/>
    </w:p>
    <w:p w:rsidR="006F1885" w:rsidRPr="004279E2" w:rsidRDefault="006F1885" w:rsidP="006F1885">
      <w:pPr>
        <w:jc w:val="both"/>
      </w:pPr>
      <w:r w:rsidRPr="004279E2">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rsidR="006F1885" w:rsidRPr="00EA60B0" w:rsidRDefault="006F1885" w:rsidP="006F1885">
      <w:pPr>
        <w:pStyle w:val="2"/>
        <w:jc w:val="both"/>
        <w:rPr>
          <w:rFonts w:ascii="Times New Roman" w:hAnsi="Times New Roman"/>
          <w:i w:val="0"/>
          <w:sz w:val="22"/>
          <w:szCs w:val="22"/>
        </w:rPr>
      </w:pPr>
      <w:bookmarkStart w:id="31" w:name="_Toc129801849"/>
      <w:r w:rsidRPr="00EA60B0">
        <w:rPr>
          <w:rFonts w:ascii="Times New Roman" w:hAnsi="Times New Roman"/>
          <w:i w:val="0"/>
          <w:sz w:val="22"/>
          <w:szCs w:val="22"/>
        </w:rPr>
        <w:t>4.3.1. Дополнительные сведения об ипотечном покрытии по облигациям эмитента с ипотечным покрытием</w:t>
      </w:r>
      <w:bookmarkEnd w:id="31"/>
    </w:p>
    <w:p w:rsidR="006F1885" w:rsidRPr="004279E2" w:rsidRDefault="006F1885" w:rsidP="006F1885">
      <w:pPr>
        <w:jc w:val="both"/>
        <w:rPr>
          <w:b/>
        </w:rPr>
      </w:pPr>
      <w:r w:rsidRPr="004279E2">
        <w:rPr>
          <w:rStyle w:val="Subst"/>
          <w:b w:val="0"/>
          <w:bCs/>
          <w:i w:val="0"/>
          <w:iCs/>
        </w:rPr>
        <w:t>Информация в настоящем пункте не приводится в связи с тем, что эмитент не выпускал облигации с ипотечным покрытием.</w:t>
      </w:r>
    </w:p>
    <w:p w:rsidR="006F1885" w:rsidRPr="00EA60B0" w:rsidRDefault="006F1885" w:rsidP="006F1885">
      <w:pPr>
        <w:pStyle w:val="2"/>
        <w:jc w:val="both"/>
        <w:rPr>
          <w:rFonts w:ascii="Times New Roman" w:hAnsi="Times New Roman"/>
          <w:i w:val="0"/>
          <w:sz w:val="22"/>
          <w:szCs w:val="22"/>
        </w:rPr>
      </w:pPr>
      <w:bookmarkStart w:id="32" w:name="_Toc129801850"/>
      <w:r w:rsidRPr="00EA60B0">
        <w:rPr>
          <w:rFonts w:ascii="Times New Roman" w:hAnsi="Times New Roman"/>
          <w:i w:val="0"/>
          <w:sz w:val="22"/>
          <w:szCs w:val="22"/>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2"/>
    </w:p>
    <w:p w:rsidR="006F1885" w:rsidRPr="004279E2" w:rsidRDefault="006F1885" w:rsidP="006F1885">
      <w:pPr>
        <w:jc w:val="both"/>
        <w:rPr>
          <w:b/>
        </w:rPr>
      </w:pPr>
      <w:r w:rsidRPr="004279E2">
        <w:rPr>
          <w:rStyle w:val="Subst"/>
          <w:b w:val="0"/>
          <w:bCs/>
          <w:i w:val="0"/>
          <w:iCs/>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6F1885" w:rsidRPr="00EA60B0" w:rsidRDefault="006F1885" w:rsidP="006F1885">
      <w:pPr>
        <w:pStyle w:val="2"/>
        <w:jc w:val="both"/>
        <w:rPr>
          <w:rFonts w:ascii="Times New Roman" w:hAnsi="Times New Roman"/>
          <w:i w:val="0"/>
          <w:sz w:val="22"/>
          <w:szCs w:val="22"/>
        </w:rPr>
      </w:pPr>
      <w:bookmarkStart w:id="33" w:name="_Toc129801851"/>
      <w:r w:rsidRPr="00EA60B0">
        <w:rPr>
          <w:rFonts w:ascii="Times New Roman" w:hAnsi="Times New Roman"/>
          <w:i w:val="0"/>
          <w:sz w:val="22"/>
          <w:szCs w:val="22"/>
        </w:rPr>
        <w:t>4.4. Сведения об объявленных и выплаченных дивидендах по акциям эмитента</w:t>
      </w:r>
      <w:bookmarkEnd w:id="33"/>
    </w:p>
    <w:p w:rsidR="006F1885" w:rsidRPr="004279E2" w:rsidRDefault="006F1885" w:rsidP="006F1885">
      <w:pPr>
        <w:jc w:val="both"/>
        <w:rPr>
          <w:rStyle w:val="Subst"/>
          <w:b w:val="0"/>
          <w:bCs/>
          <w:iCs/>
        </w:rPr>
      </w:pPr>
      <w:r w:rsidRPr="004279E2">
        <w:rPr>
          <w:rStyle w:val="Subst"/>
          <w:b w:val="0"/>
          <w:bCs/>
          <w:i w:val="0"/>
          <w:iCs/>
        </w:rPr>
        <w:t xml:space="preserve">Информация в настоящем пункте не приводится в связи с тем, что у эмитента отсутствуют ценные бумаги, допущенные к организованным торгам. </w:t>
      </w:r>
    </w:p>
    <w:p w:rsidR="006F1885" w:rsidRPr="00DE6979" w:rsidRDefault="006F1885" w:rsidP="006F1885">
      <w:pPr>
        <w:pStyle w:val="2"/>
        <w:jc w:val="both"/>
        <w:rPr>
          <w:rFonts w:ascii="Times New Roman" w:hAnsi="Times New Roman"/>
          <w:i w:val="0"/>
          <w:sz w:val="22"/>
          <w:szCs w:val="22"/>
        </w:rPr>
      </w:pPr>
      <w:bookmarkStart w:id="34" w:name="_Toc129801852"/>
      <w:r w:rsidRPr="00DE6979">
        <w:rPr>
          <w:rFonts w:ascii="Times New Roman" w:hAnsi="Times New Roman"/>
          <w:i w:val="0"/>
          <w:sz w:val="22"/>
          <w:szCs w:val="22"/>
        </w:rPr>
        <w:t>4.5. Сведения об организациях, осуществляющих учет прав на эмиссионные ценные бумаги эмитента</w:t>
      </w:r>
      <w:bookmarkEnd w:id="34"/>
    </w:p>
    <w:p w:rsidR="006F1885" w:rsidRPr="0072569F" w:rsidRDefault="006F1885" w:rsidP="006F1885">
      <w:pPr>
        <w:pStyle w:val="2"/>
        <w:jc w:val="both"/>
        <w:rPr>
          <w:rFonts w:ascii="Times New Roman" w:hAnsi="Times New Roman"/>
          <w:i w:val="0"/>
          <w:sz w:val="22"/>
          <w:szCs w:val="22"/>
        </w:rPr>
      </w:pPr>
      <w:bookmarkStart w:id="35" w:name="_Toc129801853"/>
      <w:r w:rsidRPr="0072569F">
        <w:rPr>
          <w:rFonts w:ascii="Times New Roman" w:hAnsi="Times New Roman"/>
          <w:i w:val="0"/>
          <w:sz w:val="22"/>
          <w:szCs w:val="22"/>
        </w:rPr>
        <w:t>4.5.1. Сведения о регистраторе, осуществляющем ведение реестра владельцев ценных бумаг эмитента</w:t>
      </w:r>
      <w:bookmarkEnd w:id="35"/>
    </w:p>
    <w:p w:rsidR="006F1885" w:rsidRPr="0072569F" w:rsidRDefault="006F1885" w:rsidP="006F1885">
      <w:pPr>
        <w:jc w:val="both"/>
      </w:pPr>
      <w:r w:rsidRPr="0072569F">
        <w:t>Полное фирменное наименование:</w:t>
      </w:r>
      <w:r w:rsidRPr="0072569F">
        <w:rPr>
          <w:rStyle w:val="Subst"/>
          <w:bCs/>
          <w:iCs/>
        </w:rPr>
        <w:t xml:space="preserve"> </w:t>
      </w:r>
      <w:r w:rsidRPr="002477B6">
        <w:rPr>
          <w:rStyle w:val="Subst"/>
          <w:bCs/>
          <w:i w:val="0"/>
          <w:iCs/>
        </w:rPr>
        <w:t>Акционерное общество «РДЦ ПАРИТЕТ»</w:t>
      </w:r>
    </w:p>
    <w:p w:rsidR="006F1885" w:rsidRPr="0072569F" w:rsidRDefault="006F1885" w:rsidP="006F1885">
      <w:pPr>
        <w:jc w:val="both"/>
      </w:pPr>
      <w:r w:rsidRPr="0072569F">
        <w:t>Сокращенное фирменное наименование:</w:t>
      </w:r>
      <w:r w:rsidRPr="0072569F">
        <w:rPr>
          <w:rStyle w:val="Subst"/>
          <w:bCs/>
          <w:iCs/>
        </w:rPr>
        <w:t xml:space="preserve"> </w:t>
      </w:r>
      <w:r w:rsidRPr="002477B6">
        <w:rPr>
          <w:rStyle w:val="Subst"/>
          <w:bCs/>
          <w:i w:val="0"/>
          <w:iCs/>
        </w:rPr>
        <w:t>АО «РДЦ ПАРИТЕТ»</w:t>
      </w:r>
    </w:p>
    <w:p w:rsidR="006F1885" w:rsidRPr="002477B6" w:rsidRDefault="006F1885" w:rsidP="006F1885">
      <w:pPr>
        <w:rPr>
          <w:rStyle w:val="Subst"/>
          <w:bCs/>
          <w:i w:val="0"/>
          <w:iCs/>
        </w:rPr>
      </w:pPr>
      <w:r w:rsidRPr="0072569F">
        <w:t>Место нахождения</w:t>
      </w:r>
      <w:r w:rsidRPr="0072569F">
        <w:rPr>
          <w:rStyle w:val="Subst"/>
          <w:bCs/>
          <w:iCs/>
        </w:rPr>
        <w:t xml:space="preserve">: </w:t>
      </w:r>
      <w:r w:rsidRPr="002477B6">
        <w:rPr>
          <w:rStyle w:val="Subst"/>
          <w:bCs/>
          <w:i w:val="0"/>
          <w:iCs/>
        </w:rPr>
        <w:t>115114, г. Москва, вн.тер.г.</w:t>
      </w:r>
      <w:r>
        <w:rPr>
          <w:rStyle w:val="Subst"/>
          <w:bCs/>
          <w:i w:val="0"/>
          <w:iCs/>
        </w:rPr>
        <w:t xml:space="preserve"> </w:t>
      </w:r>
      <w:r w:rsidRPr="002477B6">
        <w:rPr>
          <w:rStyle w:val="Subst"/>
          <w:bCs/>
          <w:i w:val="0"/>
          <w:iCs/>
        </w:rPr>
        <w:t xml:space="preserve">муниципальный округ Даниловский, пер. 2-й Кожевнический, д. 12, стр. 2, этаж 3, помещ. XVI, комната №4 </w:t>
      </w:r>
    </w:p>
    <w:p w:rsidR="006F1885" w:rsidRPr="002477B6" w:rsidRDefault="006F1885" w:rsidP="006F1885">
      <w:pPr>
        <w:jc w:val="both"/>
      </w:pPr>
    </w:p>
    <w:p w:rsidR="006F1885" w:rsidRPr="002477B6" w:rsidRDefault="006F1885" w:rsidP="006F1885">
      <w:pPr>
        <w:jc w:val="both"/>
        <w:rPr>
          <w:i/>
        </w:rPr>
      </w:pPr>
      <w:r w:rsidRPr="0072569F">
        <w:t>ИНН:</w:t>
      </w:r>
      <w:r w:rsidRPr="0072569F">
        <w:rPr>
          <w:rStyle w:val="Subst"/>
          <w:bCs/>
          <w:iCs/>
        </w:rPr>
        <w:t xml:space="preserve"> </w:t>
      </w:r>
      <w:r w:rsidRPr="002477B6">
        <w:rPr>
          <w:rStyle w:val="Subst"/>
          <w:bCs/>
          <w:i w:val="0"/>
          <w:iCs/>
        </w:rPr>
        <w:t>7723103642</w:t>
      </w:r>
    </w:p>
    <w:p w:rsidR="006F1885" w:rsidRPr="002477B6" w:rsidRDefault="006F1885" w:rsidP="006F1885">
      <w:pPr>
        <w:spacing w:after="120"/>
        <w:jc w:val="both"/>
        <w:rPr>
          <w:i/>
        </w:rPr>
      </w:pPr>
      <w:r w:rsidRPr="0072569F">
        <w:lastRenderedPageBreak/>
        <w:t>ОГРН:</w:t>
      </w:r>
      <w:r w:rsidRPr="0072569F">
        <w:rPr>
          <w:rStyle w:val="Subst"/>
          <w:bCs/>
          <w:iCs/>
        </w:rPr>
        <w:t xml:space="preserve"> </w:t>
      </w:r>
      <w:r w:rsidRPr="002477B6">
        <w:rPr>
          <w:rStyle w:val="Subst"/>
          <w:bCs/>
          <w:i w:val="0"/>
          <w:iCs/>
        </w:rPr>
        <w:t>1027700534806</w:t>
      </w:r>
    </w:p>
    <w:p w:rsidR="006F1885" w:rsidRPr="0072569F" w:rsidRDefault="006F1885" w:rsidP="006F1885">
      <w:pPr>
        <w:pStyle w:val="SubHeading"/>
        <w:spacing w:before="0"/>
        <w:jc w:val="both"/>
      </w:pPr>
      <w:r w:rsidRPr="0072569F">
        <w:t>Данные о лицензии на осуществление деятельности по ведению реестра владельцев ценных бумаг</w:t>
      </w:r>
    </w:p>
    <w:p w:rsidR="006F1885" w:rsidRPr="0072569F" w:rsidRDefault="006F1885" w:rsidP="006F1885">
      <w:pPr>
        <w:jc w:val="both"/>
        <w:rPr>
          <w:i/>
        </w:rPr>
      </w:pPr>
      <w:r w:rsidRPr="0072569F">
        <w:t>Номер:</w:t>
      </w:r>
      <w:r w:rsidRPr="0072569F">
        <w:rPr>
          <w:rStyle w:val="Subst"/>
          <w:bCs/>
          <w:i w:val="0"/>
          <w:iCs/>
        </w:rPr>
        <w:t xml:space="preserve"> 10-000-1-00294</w:t>
      </w:r>
    </w:p>
    <w:p w:rsidR="006F1885" w:rsidRPr="0072569F" w:rsidRDefault="006F1885" w:rsidP="006F1885">
      <w:pPr>
        <w:jc w:val="both"/>
        <w:rPr>
          <w:i/>
        </w:rPr>
      </w:pPr>
      <w:r w:rsidRPr="0072569F">
        <w:t>Дата выдачи:</w:t>
      </w:r>
      <w:r w:rsidRPr="0072569F">
        <w:rPr>
          <w:rStyle w:val="Subst"/>
          <w:bCs/>
          <w:i w:val="0"/>
          <w:iCs/>
        </w:rPr>
        <w:t xml:space="preserve"> 16.01.2004</w:t>
      </w:r>
    </w:p>
    <w:p w:rsidR="006F1885" w:rsidRPr="0072569F" w:rsidRDefault="006F1885" w:rsidP="006F1885">
      <w:pPr>
        <w:jc w:val="both"/>
      </w:pPr>
      <w:r w:rsidRPr="0072569F">
        <w:t xml:space="preserve">Дата окончания действия: </w:t>
      </w:r>
      <w:r w:rsidRPr="0072569F">
        <w:rPr>
          <w:rStyle w:val="Subst"/>
          <w:bCs/>
          <w:i w:val="0"/>
          <w:iCs/>
        </w:rPr>
        <w:t>Бессрочная</w:t>
      </w:r>
    </w:p>
    <w:p w:rsidR="006F1885" w:rsidRPr="0072569F" w:rsidRDefault="006F1885" w:rsidP="006F1885">
      <w:pPr>
        <w:jc w:val="both"/>
      </w:pPr>
      <w:r w:rsidRPr="0072569F">
        <w:t>Наименование органа, выдавшего лицензию:</w:t>
      </w:r>
      <w:r w:rsidRPr="0072569F">
        <w:rPr>
          <w:rStyle w:val="Subst"/>
          <w:bCs/>
          <w:i w:val="0"/>
          <w:iCs/>
        </w:rPr>
        <w:t xml:space="preserve"> ФКЦБ (ФСФР) России</w:t>
      </w:r>
    </w:p>
    <w:p w:rsidR="006F1885" w:rsidRPr="0072569F" w:rsidRDefault="006F1885" w:rsidP="006F1885">
      <w:pPr>
        <w:jc w:val="both"/>
        <w:rPr>
          <w:i/>
        </w:rPr>
      </w:pPr>
      <w:r w:rsidRPr="0072569F">
        <w:t>Дата, с которой регистратор осуществляет ведение реестра владельцев ценных бумаг эмитента:</w:t>
      </w:r>
      <w:r w:rsidRPr="0072569F">
        <w:rPr>
          <w:rStyle w:val="Subst"/>
          <w:bCs/>
          <w:i w:val="0"/>
          <w:iCs/>
        </w:rPr>
        <w:t xml:space="preserve"> </w:t>
      </w:r>
      <w:r w:rsidRPr="00900439">
        <w:rPr>
          <w:rStyle w:val="Subst"/>
          <w:bCs/>
          <w:i w:val="0"/>
          <w:iCs/>
        </w:rPr>
        <w:t>12.06.1997</w:t>
      </w:r>
    </w:p>
    <w:p w:rsidR="006F1885" w:rsidRDefault="006F1885" w:rsidP="006F1885">
      <w:pPr>
        <w:jc w:val="both"/>
        <w:rPr>
          <w:rStyle w:val="Subst"/>
          <w:bCs/>
          <w:i w:val="0"/>
          <w:iCs/>
        </w:rPr>
      </w:pPr>
      <w:r w:rsidRPr="0072569F">
        <w:t>Иные сведения о ведении реестра владельцев ценных бумаг эмитента, указываемые эмитентом по собственному усмотрению:</w:t>
      </w:r>
      <w:r w:rsidRPr="0072569F">
        <w:rPr>
          <w:rStyle w:val="Subst"/>
          <w:bCs/>
          <w:i w:val="0"/>
          <w:iCs/>
        </w:rPr>
        <w:t xml:space="preserve"> нет</w:t>
      </w:r>
    </w:p>
    <w:p w:rsidR="006F1885" w:rsidRPr="00BE0358" w:rsidRDefault="006F1885" w:rsidP="006F1885">
      <w:pPr>
        <w:pStyle w:val="2"/>
        <w:jc w:val="both"/>
        <w:rPr>
          <w:rFonts w:ascii="Times New Roman" w:hAnsi="Times New Roman"/>
          <w:i w:val="0"/>
          <w:sz w:val="22"/>
          <w:szCs w:val="22"/>
        </w:rPr>
      </w:pPr>
      <w:bookmarkStart w:id="36" w:name="_Toc129801854"/>
      <w:r w:rsidRPr="00BE0358">
        <w:rPr>
          <w:rFonts w:ascii="Times New Roman" w:hAnsi="Times New Roman"/>
          <w:i w:val="0"/>
          <w:sz w:val="22"/>
          <w:szCs w:val="22"/>
        </w:rPr>
        <w:t>4.5.2. Сведения о депозитарии, осуществляющем централизованный учет прав на ценные бумаги эмитента</w:t>
      </w:r>
      <w:bookmarkEnd w:id="36"/>
    </w:p>
    <w:p w:rsidR="006F1885" w:rsidRPr="00BA647B" w:rsidRDefault="006F1885" w:rsidP="006F1885">
      <w:pPr>
        <w:ind w:right="-2"/>
        <w:jc w:val="both"/>
        <w:rPr>
          <w:i/>
        </w:rPr>
      </w:pPr>
      <w:r w:rsidRPr="00BE0358">
        <w:rPr>
          <w:rStyle w:val="Subst"/>
          <w:bCs/>
          <w:i w:val="0"/>
          <w:iCs/>
        </w:rPr>
        <w:t>В обращении нет документарных ценных бумаг эмитента с обязательным централизованным хранением</w:t>
      </w:r>
      <w:r>
        <w:rPr>
          <w:rStyle w:val="Subst"/>
          <w:bCs/>
          <w:i w:val="0"/>
          <w:iCs/>
        </w:rPr>
        <w:t>.</w:t>
      </w:r>
    </w:p>
    <w:p w:rsidR="006F1885" w:rsidRDefault="006F1885" w:rsidP="006F1885">
      <w:pPr>
        <w:jc w:val="both"/>
        <w:rPr>
          <w:rStyle w:val="Subst"/>
          <w:bCs/>
          <w:i w:val="0"/>
          <w:iCs/>
        </w:rPr>
      </w:pPr>
    </w:p>
    <w:p w:rsidR="006F1885" w:rsidRPr="009A0FCD" w:rsidRDefault="006F1885" w:rsidP="006F1885">
      <w:pPr>
        <w:pStyle w:val="2"/>
        <w:jc w:val="both"/>
        <w:rPr>
          <w:rFonts w:ascii="Times New Roman" w:hAnsi="Times New Roman"/>
          <w:i w:val="0"/>
          <w:sz w:val="22"/>
          <w:szCs w:val="22"/>
        </w:rPr>
      </w:pPr>
      <w:bookmarkStart w:id="37" w:name="_Toc129801855"/>
      <w:r w:rsidRPr="009A0FCD">
        <w:rPr>
          <w:rFonts w:ascii="Times New Roman" w:hAnsi="Times New Roman"/>
          <w:i w:val="0"/>
          <w:sz w:val="22"/>
          <w:szCs w:val="22"/>
        </w:rPr>
        <w:t>4.6. Информация об аудиторе эмитента</w:t>
      </w:r>
      <w:bookmarkEnd w:id="37"/>
    </w:p>
    <w:p w:rsidR="006F1885" w:rsidRPr="006B3BE7" w:rsidRDefault="006F1885" w:rsidP="006F1885">
      <w:pPr>
        <w:jc w:val="both"/>
        <w:rPr>
          <w:highlight w:val="yellow"/>
        </w:rPr>
      </w:pPr>
      <w:r w:rsidRPr="009A0FCD">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6F1885" w:rsidRPr="006B3BE7" w:rsidRDefault="006F1885" w:rsidP="006F1885">
      <w:pPr>
        <w:jc w:val="both"/>
        <w:rPr>
          <w:highlight w:val="yellow"/>
        </w:rPr>
      </w:pPr>
    </w:p>
    <w:p w:rsidR="006F1885" w:rsidRPr="00A62AA5" w:rsidRDefault="006F1885" w:rsidP="006F1885">
      <w:pPr>
        <w:jc w:val="both"/>
      </w:pPr>
      <w:r w:rsidRPr="00EE3B5B">
        <w:t>Полное фирменное наименование:</w:t>
      </w:r>
      <w:r w:rsidRPr="00EE3B5B">
        <w:rPr>
          <w:i/>
        </w:rPr>
        <w:t xml:space="preserve"> </w:t>
      </w:r>
      <w:r w:rsidRPr="00EE3B5B">
        <w:rPr>
          <w:b/>
        </w:rPr>
        <w:t>Общество с ограниченной ответственностью</w:t>
      </w:r>
      <w:r>
        <w:rPr>
          <w:b/>
        </w:rPr>
        <w:t xml:space="preserve"> </w:t>
      </w:r>
      <w:r w:rsidRPr="00EE3B5B">
        <w:rPr>
          <w:b/>
        </w:rPr>
        <w:t>"Р.О.С.ЭКСПЕРТИЗА</w:t>
      </w:r>
      <w:r w:rsidRPr="00A62AA5">
        <w:rPr>
          <w:rStyle w:val="Subst"/>
          <w:bCs/>
          <w:i w:val="0"/>
          <w:iCs/>
        </w:rPr>
        <w:t>"</w:t>
      </w:r>
    </w:p>
    <w:p w:rsidR="006F1885" w:rsidRPr="00A62AA5" w:rsidRDefault="006F1885" w:rsidP="006F1885">
      <w:pPr>
        <w:jc w:val="both"/>
      </w:pPr>
      <w:r w:rsidRPr="00A62AA5">
        <w:t>Сокращенное фирменное наименование:</w:t>
      </w:r>
      <w:r w:rsidRPr="00A62AA5">
        <w:rPr>
          <w:rStyle w:val="Subst"/>
          <w:bCs/>
          <w:iCs/>
        </w:rPr>
        <w:t xml:space="preserve"> </w:t>
      </w:r>
      <w:r w:rsidRPr="00A62AA5">
        <w:rPr>
          <w:rStyle w:val="Subst"/>
          <w:bCs/>
          <w:i w:val="0"/>
          <w:iCs/>
        </w:rPr>
        <w:t>ООО "</w:t>
      </w:r>
      <w:r w:rsidRPr="00EE3B5B">
        <w:rPr>
          <w:b/>
        </w:rPr>
        <w:t xml:space="preserve"> Р.О.С.ЭКСПЕРТИЗА</w:t>
      </w:r>
      <w:r w:rsidRPr="00A62AA5">
        <w:rPr>
          <w:rStyle w:val="Subst"/>
          <w:bCs/>
          <w:i w:val="0"/>
          <w:iCs/>
        </w:rPr>
        <w:t xml:space="preserve"> "</w:t>
      </w:r>
    </w:p>
    <w:p w:rsidR="006F1885" w:rsidRPr="00A62AA5" w:rsidRDefault="006F1885" w:rsidP="006F1885">
      <w:pPr>
        <w:jc w:val="both"/>
      </w:pPr>
      <w:r w:rsidRPr="00A62AA5">
        <w:t>Место нахождения:</w:t>
      </w:r>
      <w:r w:rsidRPr="00A62AA5">
        <w:rPr>
          <w:rStyle w:val="Subst"/>
          <w:bCs/>
          <w:iCs/>
        </w:rPr>
        <w:t xml:space="preserve"> </w:t>
      </w:r>
      <w:r w:rsidRPr="00205BB8">
        <w:rPr>
          <w:rStyle w:val="Subst"/>
          <w:bCs/>
          <w:i w:val="0"/>
          <w:iCs/>
        </w:rPr>
        <w:t xml:space="preserve">127055, г. </w:t>
      </w:r>
      <w:r w:rsidRPr="00A62AA5">
        <w:rPr>
          <w:rStyle w:val="Subst"/>
          <w:bCs/>
          <w:i w:val="0"/>
          <w:iCs/>
        </w:rPr>
        <w:t>Москва, Тихвинский пер., д.</w:t>
      </w:r>
      <w:r>
        <w:rPr>
          <w:rStyle w:val="Subst"/>
          <w:bCs/>
          <w:i w:val="0"/>
          <w:iCs/>
        </w:rPr>
        <w:t xml:space="preserve"> </w:t>
      </w:r>
      <w:r w:rsidRPr="00A62AA5">
        <w:rPr>
          <w:rStyle w:val="Subst"/>
          <w:bCs/>
          <w:i w:val="0"/>
          <w:iCs/>
        </w:rPr>
        <w:t>7, стр.</w:t>
      </w:r>
      <w:r>
        <w:rPr>
          <w:rStyle w:val="Subst"/>
          <w:bCs/>
          <w:i w:val="0"/>
          <w:iCs/>
        </w:rPr>
        <w:t xml:space="preserve"> </w:t>
      </w:r>
      <w:r w:rsidRPr="00A62AA5">
        <w:rPr>
          <w:rStyle w:val="Subst"/>
          <w:bCs/>
          <w:i w:val="0"/>
          <w:iCs/>
        </w:rPr>
        <w:t>3, кабинет 20</w:t>
      </w:r>
    </w:p>
    <w:p w:rsidR="006F1885" w:rsidRPr="00A62AA5" w:rsidRDefault="006F1885" w:rsidP="006F1885">
      <w:pPr>
        <w:jc w:val="both"/>
        <w:rPr>
          <w:rStyle w:val="Subst"/>
          <w:bCs/>
          <w:i w:val="0"/>
          <w:iCs/>
        </w:rPr>
      </w:pPr>
      <w:r w:rsidRPr="00A62AA5">
        <w:t>ИНН:</w:t>
      </w:r>
      <w:r w:rsidRPr="00A62AA5">
        <w:rPr>
          <w:rStyle w:val="Subst"/>
          <w:bCs/>
          <w:i w:val="0"/>
          <w:iCs/>
        </w:rPr>
        <w:t xml:space="preserve"> 7708000473</w:t>
      </w:r>
    </w:p>
    <w:p w:rsidR="006F1885" w:rsidRPr="00A333DA" w:rsidRDefault="006F1885" w:rsidP="006F1885">
      <w:pPr>
        <w:jc w:val="both"/>
        <w:rPr>
          <w:i/>
        </w:rPr>
      </w:pPr>
      <w:r w:rsidRPr="00A62AA5">
        <w:t>ОГРН</w:t>
      </w:r>
      <w:r w:rsidRPr="00A62AA5">
        <w:rPr>
          <w:i/>
        </w:rPr>
        <w:t>:</w:t>
      </w:r>
      <w:r w:rsidRPr="00A62AA5">
        <w:rPr>
          <w:rStyle w:val="Subst"/>
          <w:bCs/>
          <w:i w:val="0"/>
          <w:iCs/>
        </w:rPr>
        <w:t xml:space="preserve"> 1027739273946</w:t>
      </w:r>
    </w:p>
    <w:p w:rsidR="006F1885" w:rsidRPr="00A333DA" w:rsidRDefault="006F1885" w:rsidP="006F1885">
      <w:pPr>
        <w:pStyle w:val="SubHeading"/>
        <w:jc w:val="both"/>
      </w:pPr>
      <w:r w:rsidRPr="00A333DA">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6F1885" w:rsidRPr="007071D7" w:rsidRDefault="006F1885" w:rsidP="006F1885">
      <w:pPr>
        <w:pStyle w:val="ThinDelim"/>
        <w:jc w:val="both"/>
        <w:rPr>
          <w:color w:val="7030A0"/>
        </w:rPr>
      </w:pPr>
    </w:p>
    <w:tbl>
      <w:tblPr>
        <w:tblW w:w="9428" w:type="dxa"/>
        <w:jc w:val="center"/>
        <w:tblLayout w:type="fixed"/>
        <w:tblCellMar>
          <w:left w:w="72" w:type="dxa"/>
          <w:right w:w="72" w:type="dxa"/>
        </w:tblCellMar>
        <w:tblLook w:val="0000" w:firstRow="0" w:lastRow="0" w:firstColumn="0" w:lastColumn="0" w:noHBand="0" w:noVBand="0"/>
      </w:tblPr>
      <w:tblGrid>
        <w:gridCol w:w="4750"/>
        <w:gridCol w:w="4678"/>
      </w:tblGrid>
      <w:tr w:rsidR="006F1885" w:rsidRPr="007071D7" w:rsidTr="005B006B">
        <w:trPr>
          <w:jc w:val="center"/>
        </w:trPr>
        <w:tc>
          <w:tcPr>
            <w:tcW w:w="4750" w:type="dxa"/>
            <w:tcBorders>
              <w:top w:val="single" w:sz="4" w:space="0" w:color="auto"/>
              <w:left w:val="single" w:sz="4" w:space="0" w:color="auto"/>
              <w:bottom w:val="single" w:sz="4" w:space="0" w:color="auto"/>
              <w:right w:val="single" w:sz="4" w:space="0" w:color="auto"/>
            </w:tcBorders>
          </w:tcPr>
          <w:p w:rsidR="006F1885" w:rsidRPr="00A333DA" w:rsidRDefault="006F1885" w:rsidP="005B006B">
            <w:pPr>
              <w:jc w:val="both"/>
            </w:pPr>
            <w:r w:rsidRPr="00A333DA">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78" w:type="dxa"/>
            <w:tcBorders>
              <w:top w:val="single" w:sz="4" w:space="0" w:color="auto"/>
              <w:left w:val="single" w:sz="4" w:space="0" w:color="auto"/>
              <w:bottom w:val="single" w:sz="4" w:space="0" w:color="auto"/>
              <w:right w:val="single" w:sz="4" w:space="0" w:color="auto"/>
            </w:tcBorders>
          </w:tcPr>
          <w:p w:rsidR="006F1885" w:rsidRPr="00A333DA" w:rsidRDefault="006F1885" w:rsidP="005B006B">
            <w:pPr>
              <w:jc w:val="both"/>
            </w:pPr>
            <w:r w:rsidRPr="00A333DA">
              <w:t>Вид отчетности эмитента, в отношении которой аудитором проводилась (будет проводиться) проверка (бухгалтерская (финансовая) отчетность;</w:t>
            </w:r>
          </w:p>
          <w:p w:rsidR="006F1885" w:rsidRPr="00A333DA" w:rsidRDefault="006F1885" w:rsidP="005B006B">
            <w:pPr>
              <w:jc w:val="both"/>
            </w:pPr>
            <w:r w:rsidRPr="00A333DA">
              <w:t xml:space="preserve"> консолидированная финансовая отчетность или финансовая отчетность)</w:t>
            </w:r>
          </w:p>
        </w:tc>
      </w:tr>
      <w:tr w:rsidR="006F1885" w:rsidRPr="007071D7" w:rsidTr="005B006B">
        <w:trPr>
          <w:jc w:val="center"/>
        </w:trPr>
        <w:tc>
          <w:tcPr>
            <w:tcW w:w="4750" w:type="dxa"/>
            <w:tcBorders>
              <w:top w:val="single" w:sz="4" w:space="0" w:color="auto"/>
              <w:left w:val="single" w:sz="4" w:space="0" w:color="auto"/>
              <w:bottom w:val="single" w:sz="4" w:space="0" w:color="auto"/>
              <w:right w:val="single" w:sz="4" w:space="0" w:color="auto"/>
            </w:tcBorders>
          </w:tcPr>
          <w:p w:rsidR="006F1885" w:rsidRPr="007405A1" w:rsidRDefault="006F1885" w:rsidP="005B006B">
            <w:pPr>
              <w:jc w:val="both"/>
              <w:rPr>
                <w:lang w:val="en-US"/>
              </w:rPr>
            </w:pPr>
            <w:r w:rsidRPr="00A333DA">
              <w:t>20</w:t>
            </w:r>
            <w:r>
              <w:rPr>
                <w:lang w:val="en-US"/>
              </w:rPr>
              <w:t>20</w:t>
            </w:r>
          </w:p>
        </w:tc>
        <w:tc>
          <w:tcPr>
            <w:tcW w:w="4678" w:type="dxa"/>
            <w:tcBorders>
              <w:top w:val="single" w:sz="4" w:space="0" w:color="auto"/>
              <w:left w:val="single" w:sz="4" w:space="0" w:color="auto"/>
              <w:bottom w:val="single" w:sz="4" w:space="0" w:color="auto"/>
              <w:right w:val="single" w:sz="4" w:space="0" w:color="auto"/>
            </w:tcBorders>
          </w:tcPr>
          <w:p w:rsidR="006F1885" w:rsidRPr="00A333DA" w:rsidRDefault="006F1885" w:rsidP="005B006B">
            <w:pPr>
              <w:jc w:val="both"/>
            </w:pPr>
            <w:r w:rsidRPr="00A333DA">
              <w:t>Бухгалтерская (финансовая) отчетность, Год</w:t>
            </w:r>
          </w:p>
        </w:tc>
      </w:tr>
      <w:tr w:rsidR="006F1885" w:rsidRPr="007071D7" w:rsidTr="005B006B">
        <w:trPr>
          <w:jc w:val="center"/>
        </w:trPr>
        <w:tc>
          <w:tcPr>
            <w:tcW w:w="4750" w:type="dxa"/>
            <w:tcBorders>
              <w:top w:val="single" w:sz="4" w:space="0" w:color="auto"/>
              <w:left w:val="single" w:sz="4" w:space="0" w:color="auto"/>
              <w:bottom w:val="single" w:sz="4" w:space="0" w:color="auto"/>
              <w:right w:val="single" w:sz="4" w:space="0" w:color="auto"/>
            </w:tcBorders>
          </w:tcPr>
          <w:p w:rsidR="006F1885" w:rsidRPr="007405A1" w:rsidRDefault="006F1885" w:rsidP="005B006B">
            <w:pPr>
              <w:jc w:val="both"/>
              <w:rPr>
                <w:lang w:val="en-US"/>
              </w:rPr>
            </w:pPr>
            <w:r w:rsidRPr="00A333DA">
              <w:t>202</w:t>
            </w:r>
            <w:r>
              <w:rPr>
                <w:lang w:val="en-US"/>
              </w:rPr>
              <w:t>1</w:t>
            </w:r>
          </w:p>
        </w:tc>
        <w:tc>
          <w:tcPr>
            <w:tcW w:w="4678" w:type="dxa"/>
            <w:tcBorders>
              <w:top w:val="single" w:sz="4" w:space="0" w:color="auto"/>
              <w:left w:val="single" w:sz="4" w:space="0" w:color="auto"/>
              <w:bottom w:val="single" w:sz="4" w:space="0" w:color="auto"/>
              <w:right w:val="single" w:sz="4" w:space="0" w:color="auto"/>
            </w:tcBorders>
          </w:tcPr>
          <w:p w:rsidR="006F1885" w:rsidRPr="00A333DA" w:rsidRDefault="006F1885" w:rsidP="005B006B">
            <w:pPr>
              <w:jc w:val="both"/>
            </w:pPr>
            <w:r w:rsidRPr="00A333DA">
              <w:t>Бухгалтерская (финансовая) отчетность, Год</w:t>
            </w:r>
          </w:p>
        </w:tc>
      </w:tr>
      <w:tr w:rsidR="006F1885" w:rsidRPr="007071D7" w:rsidTr="005B006B">
        <w:trPr>
          <w:jc w:val="center"/>
        </w:trPr>
        <w:tc>
          <w:tcPr>
            <w:tcW w:w="4750" w:type="dxa"/>
            <w:tcBorders>
              <w:top w:val="single" w:sz="4" w:space="0" w:color="auto"/>
              <w:left w:val="single" w:sz="4" w:space="0" w:color="auto"/>
              <w:bottom w:val="single" w:sz="4" w:space="0" w:color="auto"/>
              <w:right w:val="single" w:sz="4" w:space="0" w:color="auto"/>
            </w:tcBorders>
          </w:tcPr>
          <w:p w:rsidR="006F1885" w:rsidRPr="007405A1" w:rsidRDefault="006F1885" w:rsidP="005B006B">
            <w:pPr>
              <w:jc w:val="both"/>
              <w:rPr>
                <w:lang w:val="en-US"/>
              </w:rPr>
            </w:pPr>
            <w:r w:rsidRPr="00A333DA">
              <w:t>202</w:t>
            </w:r>
            <w:r>
              <w:rPr>
                <w:lang w:val="en-US"/>
              </w:rPr>
              <w:t>2</w:t>
            </w:r>
          </w:p>
        </w:tc>
        <w:tc>
          <w:tcPr>
            <w:tcW w:w="4678" w:type="dxa"/>
            <w:tcBorders>
              <w:top w:val="single" w:sz="4" w:space="0" w:color="auto"/>
              <w:left w:val="single" w:sz="4" w:space="0" w:color="auto"/>
              <w:bottom w:val="single" w:sz="4" w:space="0" w:color="auto"/>
              <w:right w:val="single" w:sz="4" w:space="0" w:color="auto"/>
            </w:tcBorders>
          </w:tcPr>
          <w:p w:rsidR="006F1885" w:rsidRPr="00A333DA" w:rsidRDefault="006F1885" w:rsidP="005B006B">
            <w:pPr>
              <w:jc w:val="both"/>
            </w:pPr>
            <w:r w:rsidRPr="00A333DA">
              <w:t>Бухгалтерская (финансовая) отчетность, Год</w:t>
            </w:r>
          </w:p>
        </w:tc>
      </w:tr>
    </w:tbl>
    <w:p w:rsidR="006F1885" w:rsidRPr="008E0B82" w:rsidRDefault="006F1885" w:rsidP="006F1885">
      <w:pPr>
        <w:jc w:val="both"/>
      </w:pPr>
    </w:p>
    <w:p w:rsidR="006F1885" w:rsidRPr="008E0B82" w:rsidRDefault="006F1885" w:rsidP="006F1885">
      <w:pPr>
        <w:jc w:val="both"/>
      </w:pPr>
      <w:r w:rsidRPr="008E0B82">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t xml:space="preserve"> </w:t>
      </w:r>
      <w:r>
        <w:rPr>
          <w:rStyle w:val="Subst"/>
          <w:bCs/>
          <w:i w:val="0"/>
          <w:iCs/>
        </w:rPr>
        <w:t>не применимо</w:t>
      </w:r>
      <w:r w:rsidRPr="008E0B82">
        <w:rPr>
          <w:rStyle w:val="Subst"/>
          <w:bCs/>
          <w:i w:val="0"/>
          <w:iCs/>
        </w:rPr>
        <w:t>.</w:t>
      </w:r>
    </w:p>
    <w:p w:rsidR="006F1885" w:rsidRPr="008E0B82" w:rsidRDefault="006F1885" w:rsidP="006F1885">
      <w:pPr>
        <w:pStyle w:val="SubHeading"/>
        <w:jc w:val="both"/>
      </w:pPr>
      <w:r w:rsidRPr="008E0B82">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t>:</w:t>
      </w:r>
    </w:p>
    <w:p w:rsidR="006F1885" w:rsidRDefault="006F1885" w:rsidP="006F1885">
      <w:pPr>
        <w:jc w:val="both"/>
        <w:rPr>
          <w:rStyle w:val="Subst"/>
          <w:bCs/>
          <w:i w:val="0"/>
          <w:iCs/>
        </w:rPr>
      </w:pPr>
    </w:p>
    <w:p w:rsidR="006F1885" w:rsidRPr="008E0B82" w:rsidRDefault="006F1885" w:rsidP="006F1885">
      <w:pPr>
        <w:jc w:val="both"/>
      </w:pPr>
      <w:r w:rsidRPr="008E0B82">
        <w:rPr>
          <w:rStyle w:val="Subst"/>
          <w:bCs/>
          <w:i w:val="0"/>
          <w:iCs/>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6F1885" w:rsidRDefault="006F1885" w:rsidP="006F1885">
      <w:pPr>
        <w:jc w:val="both"/>
      </w:pPr>
    </w:p>
    <w:p w:rsidR="006F1885" w:rsidRPr="008E0B82" w:rsidRDefault="006F1885" w:rsidP="006F1885">
      <w:pPr>
        <w:jc w:val="both"/>
      </w:pPr>
      <w:r w:rsidRPr="008E0B82">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t xml:space="preserve"> </w:t>
      </w:r>
      <w:r>
        <w:rPr>
          <w:rStyle w:val="Subst"/>
          <w:bCs/>
          <w:i w:val="0"/>
          <w:iCs/>
        </w:rPr>
        <w:t>нет</w:t>
      </w:r>
    </w:p>
    <w:p w:rsidR="006F1885" w:rsidRPr="008E0B82" w:rsidRDefault="006F1885" w:rsidP="006F1885">
      <w:pPr>
        <w:jc w:val="both"/>
      </w:pPr>
      <w:r w:rsidRPr="008E0B82">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8E0B82">
        <w:rPr>
          <w:rStyle w:val="Subst"/>
          <w:bCs/>
          <w:i w:val="0"/>
          <w:iCs/>
        </w:rPr>
        <w:t xml:space="preserve">не </w:t>
      </w:r>
      <w:r>
        <w:rPr>
          <w:rStyle w:val="Subst"/>
          <w:bCs/>
          <w:i w:val="0"/>
          <w:iCs/>
        </w:rPr>
        <w:t>предоставляли</w:t>
      </w:r>
      <w:r w:rsidRPr="008E0B82">
        <w:rPr>
          <w:rStyle w:val="Subst"/>
          <w:bCs/>
          <w:i w:val="0"/>
          <w:iCs/>
        </w:rPr>
        <w:t>сь</w:t>
      </w:r>
    </w:p>
    <w:p w:rsidR="006F1885" w:rsidRPr="008E0B82" w:rsidRDefault="006F1885" w:rsidP="006F1885">
      <w:pPr>
        <w:jc w:val="both"/>
      </w:pPr>
      <w:r w:rsidRPr="008E0B82">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t xml:space="preserve"> </w:t>
      </w:r>
      <w:r>
        <w:rPr>
          <w:rStyle w:val="Subst"/>
          <w:bCs/>
          <w:i w:val="0"/>
          <w:iCs/>
        </w:rPr>
        <w:t>не имеется</w:t>
      </w:r>
    </w:p>
    <w:p w:rsidR="006F1885" w:rsidRPr="008E0B82" w:rsidRDefault="006F1885" w:rsidP="006F1885">
      <w:pPr>
        <w:jc w:val="both"/>
      </w:pPr>
      <w:r w:rsidRPr="008E0B82">
        <w:lastRenderedPageBreak/>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t xml:space="preserve"> </w:t>
      </w:r>
      <w:r>
        <w:rPr>
          <w:rStyle w:val="Subst"/>
          <w:bCs/>
          <w:i w:val="0"/>
          <w:iCs/>
        </w:rPr>
        <w:t>указанных лиц</w:t>
      </w:r>
      <w:r w:rsidRPr="008E0B82">
        <w:rPr>
          <w:rStyle w:val="Subst"/>
          <w:bCs/>
          <w:i w:val="0"/>
          <w:iCs/>
        </w:rPr>
        <w:t xml:space="preserve"> нет</w:t>
      </w:r>
    </w:p>
    <w:p w:rsidR="006F1885" w:rsidRDefault="006F1885" w:rsidP="006F1885">
      <w:pPr>
        <w:jc w:val="both"/>
        <w:rPr>
          <w:rStyle w:val="Subst"/>
          <w:bCs/>
          <w:i w:val="0"/>
          <w:iCs/>
        </w:rPr>
      </w:pPr>
      <w:r w:rsidRPr="008E0B82">
        <w:t>Иные факторы, которые могут повлиять на независимость аудитора от эмитента:</w:t>
      </w:r>
      <w:r>
        <w:t xml:space="preserve"> </w:t>
      </w:r>
      <w:r w:rsidRPr="008A32D0">
        <w:rPr>
          <w:b/>
        </w:rPr>
        <w:t>и</w:t>
      </w:r>
      <w:r w:rsidRPr="008A32D0">
        <w:rPr>
          <w:rStyle w:val="Subst"/>
          <w:bCs/>
          <w:i w:val="0"/>
          <w:iCs/>
        </w:rPr>
        <w:t>н</w:t>
      </w:r>
      <w:r w:rsidRPr="008E0B82">
        <w:rPr>
          <w:rStyle w:val="Subst"/>
          <w:bCs/>
          <w:i w:val="0"/>
          <w:iCs/>
        </w:rPr>
        <w:t>ых факторов, которые могут повлиять на независимость аудитора от эмитента, нет</w:t>
      </w:r>
    </w:p>
    <w:p w:rsidR="006F1885" w:rsidRPr="008E0B82" w:rsidRDefault="006F1885" w:rsidP="006F1885">
      <w:pPr>
        <w:jc w:val="both"/>
      </w:pPr>
    </w:p>
    <w:p w:rsidR="006F1885" w:rsidRPr="00205CEB" w:rsidRDefault="006F1885" w:rsidP="006F1885">
      <w:pPr>
        <w:jc w:val="both"/>
      </w:pPr>
      <w:r w:rsidRPr="00205CEB">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6F1885" w:rsidRPr="006C6295" w:rsidRDefault="006F1885" w:rsidP="006F1885">
      <w:pPr>
        <w:jc w:val="both"/>
        <w:rPr>
          <w:rStyle w:val="Subst"/>
          <w:bCs/>
          <w:iCs/>
        </w:rPr>
      </w:pPr>
      <w:r w:rsidRPr="006C6295">
        <w:rPr>
          <w:rStyle w:val="Subst"/>
          <w:bCs/>
          <w:i w:val="0"/>
          <w:iCs/>
        </w:rPr>
        <w:t>Размер оплаты услуг аудиторов определялся советом директоров эмитента по результатам переговоров между исполнительным органом эмитента и аудитором, утвержденным общим собранием акционеров. Размер вознаграждения аудитора, осуществляющего независимую оценку бухгалтерского учета и финансовой (бухгалтерской) отчетности эмитента за 2022</w:t>
      </w:r>
      <w:r>
        <w:rPr>
          <w:rStyle w:val="Subst"/>
          <w:bCs/>
          <w:i w:val="0"/>
          <w:iCs/>
        </w:rPr>
        <w:t xml:space="preserve"> </w:t>
      </w:r>
      <w:r w:rsidRPr="006C6295">
        <w:rPr>
          <w:rStyle w:val="Subst"/>
          <w:bCs/>
          <w:i w:val="0"/>
          <w:iCs/>
        </w:rPr>
        <w:t>г. определен договором с аудитором и составляет 1 285 650 руб</w:t>
      </w:r>
      <w:r>
        <w:rPr>
          <w:rStyle w:val="Subst"/>
          <w:bCs/>
          <w:i w:val="0"/>
          <w:iCs/>
        </w:rPr>
        <w:t>.</w:t>
      </w:r>
      <w:r w:rsidRPr="006C6295">
        <w:rPr>
          <w:rStyle w:val="Subst"/>
          <w:bCs/>
          <w:i w:val="0"/>
          <w:iCs/>
        </w:rPr>
        <w:t>, в т.ч. НДС. Отсроченных и просроченных платежей за оказанные аудитором услуги нет.</w:t>
      </w:r>
    </w:p>
    <w:p w:rsidR="006F1885" w:rsidRPr="008E0B82" w:rsidRDefault="006F1885" w:rsidP="006F1885">
      <w:pPr>
        <w:pStyle w:val="SubHeading"/>
        <w:jc w:val="both"/>
      </w:pPr>
      <w:r w:rsidRPr="008E0B82">
        <w:t>Порядок выбора аудитора эмитента</w:t>
      </w:r>
    </w:p>
    <w:p w:rsidR="006F1885" w:rsidRPr="00F77369" w:rsidRDefault="006F1885" w:rsidP="006F1885">
      <w:pPr>
        <w:jc w:val="both"/>
        <w:rPr>
          <w:rStyle w:val="Subst"/>
          <w:bCs/>
          <w:i w:val="0"/>
          <w:iCs/>
        </w:rPr>
      </w:pPr>
      <w:r w:rsidRPr="008E0B82">
        <w:rPr>
          <w:rStyle w:val="Subst"/>
          <w:bCs/>
          <w:i w:val="0"/>
          <w:iCs/>
        </w:rPr>
        <w:t>Наличие процедуры конкурса, связанного с выбором аудитора, не предусмотрено</w:t>
      </w:r>
    </w:p>
    <w:p w:rsidR="006F1885" w:rsidRPr="00F77369" w:rsidRDefault="006F1885" w:rsidP="006F1885">
      <w:pPr>
        <w:jc w:val="both"/>
      </w:pPr>
    </w:p>
    <w:p w:rsidR="006F1885" w:rsidRDefault="006F1885" w:rsidP="006F1885">
      <w:pPr>
        <w:jc w:val="both"/>
      </w:pPr>
      <w:r w:rsidRPr="008E0B82">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6F1885" w:rsidRPr="003B4D08" w:rsidRDefault="006F1885" w:rsidP="006F1885">
      <w:pPr>
        <w:adjustRightInd w:val="0"/>
        <w:jc w:val="both"/>
        <w:rPr>
          <w:rStyle w:val="Subst"/>
          <w:bCs/>
          <w:i w:val="0"/>
          <w:iCs/>
        </w:rPr>
      </w:pPr>
      <w:r w:rsidRPr="0027580E">
        <w:rPr>
          <w:rStyle w:val="Subst"/>
          <w:bCs/>
          <w:i w:val="0"/>
          <w:iCs/>
        </w:rPr>
        <w:t>Кандидатура аудитора определяется Советом директоров Общества в</w:t>
      </w:r>
      <w:r>
        <w:rPr>
          <w:rStyle w:val="Subst"/>
          <w:bCs/>
          <w:i w:val="0"/>
          <w:iCs/>
        </w:rPr>
        <w:t xml:space="preserve"> </w:t>
      </w:r>
      <w:r w:rsidRPr="0027580E">
        <w:rPr>
          <w:rStyle w:val="Subst"/>
          <w:bCs/>
          <w:i w:val="0"/>
          <w:iCs/>
        </w:rPr>
        <w:t>рамках решения вопросов подготовки и</w:t>
      </w:r>
      <w:r>
        <w:rPr>
          <w:rStyle w:val="Subst"/>
          <w:bCs/>
          <w:i w:val="0"/>
          <w:iCs/>
        </w:rPr>
        <w:t xml:space="preserve"> </w:t>
      </w:r>
      <w:r w:rsidRPr="0027580E">
        <w:rPr>
          <w:rStyle w:val="Subst"/>
          <w:bCs/>
          <w:i w:val="0"/>
          <w:iCs/>
        </w:rPr>
        <w:t>проведения годового общего собрания акционеров.</w:t>
      </w:r>
      <w:r w:rsidRPr="003B4D08">
        <w:rPr>
          <w:rStyle w:val="Subst"/>
          <w:bCs/>
          <w:i w:val="0"/>
          <w:iCs/>
        </w:rPr>
        <w:t xml:space="preserve"> </w:t>
      </w:r>
      <w:r>
        <w:rPr>
          <w:rStyle w:val="Subst"/>
          <w:bCs/>
          <w:i w:val="0"/>
          <w:iCs/>
        </w:rPr>
        <w:t>Назначение</w:t>
      </w:r>
      <w:r w:rsidRPr="003B4D08">
        <w:rPr>
          <w:rStyle w:val="Subst"/>
          <w:bCs/>
          <w:i w:val="0"/>
          <w:iCs/>
        </w:rPr>
        <w:t xml:space="preserve"> аудитора относится к компетенции Общего собрания акционеров эмитента.</w:t>
      </w:r>
    </w:p>
    <w:p w:rsidR="006F1885" w:rsidRDefault="006F1885" w:rsidP="006F1885">
      <w:pPr>
        <w:jc w:val="both"/>
        <w:rPr>
          <w:rStyle w:val="Subst"/>
          <w:bCs/>
          <w:i w:val="0"/>
          <w:iCs/>
        </w:rPr>
      </w:pPr>
    </w:p>
    <w:p w:rsidR="006F1885" w:rsidRPr="00872A68" w:rsidRDefault="006F1885" w:rsidP="006F1885">
      <w:pPr>
        <w:pStyle w:val="2"/>
        <w:tabs>
          <w:tab w:val="left" w:pos="567"/>
          <w:tab w:val="left" w:pos="1276"/>
        </w:tabs>
        <w:jc w:val="both"/>
        <w:rPr>
          <w:rFonts w:ascii="Times New Roman" w:hAnsi="Times New Roman"/>
          <w:i w:val="0"/>
        </w:rPr>
      </w:pPr>
      <w:bookmarkStart w:id="38" w:name="_Toc129801856"/>
      <w:r w:rsidRPr="00872A68">
        <w:rPr>
          <w:rFonts w:ascii="Times New Roman" w:hAnsi="Times New Roman"/>
          <w:i w:val="0"/>
        </w:rPr>
        <w:t>Раздел 5. Консолидированная финансовая отчетность (финансовая отчетность), бухгалтерская (финансовая) отчетность эмитента</w:t>
      </w:r>
      <w:bookmarkEnd w:id="38"/>
    </w:p>
    <w:p w:rsidR="006F1885" w:rsidRPr="0072569F" w:rsidRDefault="006F1885" w:rsidP="006F1885">
      <w:pPr>
        <w:pStyle w:val="2"/>
        <w:tabs>
          <w:tab w:val="left" w:pos="567"/>
          <w:tab w:val="left" w:pos="1276"/>
        </w:tabs>
        <w:spacing w:before="0"/>
        <w:jc w:val="both"/>
        <w:rPr>
          <w:rFonts w:ascii="Times New Roman" w:hAnsi="Times New Roman"/>
          <w:i w:val="0"/>
          <w:sz w:val="22"/>
          <w:szCs w:val="22"/>
        </w:rPr>
      </w:pPr>
      <w:bookmarkStart w:id="39" w:name="_Toc129801857"/>
      <w:r w:rsidRPr="0072569F">
        <w:rPr>
          <w:rFonts w:ascii="Times New Roman" w:hAnsi="Times New Roman"/>
          <w:i w:val="0"/>
          <w:sz w:val="22"/>
          <w:szCs w:val="22"/>
        </w:rPr>
        <w:t>5.1. Консолидированная финансовая отчетность (финансовая отчетность) эмитента</w:t>
      </w:r>
      <w:bookmarkEnd w:id="39"/>
    </w:p>
    <w:p w:rsidR="006F1885" w:rsidRPr="008E0B82" w:rsidRDefault="006F1885" w:rsidP="006F1885">
      <w:pPr>
        <w:jc w:val="both"/>
      </w:pPr>
      <w:r w:rsidRPr="008E0B82">
        <w:rPr>
          <w:rStyle w:val="Subst"/>
          <w:bCs/>
          <w:i w:val="0"/>
          <w:iCs/>
        </w:rPr>
        <w:t>Эмитент не составляет консолидированную финансовую отчетность</w:t>
      </w:r>
    </w:p>
    <w:p w:rsidR="006F1885" w:rsidRPr="00B21860" w:rsidRDefault="006F1885" w:rsidP="006F1885">
      <w:pPr>
        <w:jc w:val="both"/>
        <w:rPr>
          <w:rStyle w:val="Subst"/>
          <w:b w:val="0"/>
          <w:bCs/>
          <w:i w:val="0"/>
          <w:iCs/>
        </w:rPr>
      </w:pPr>
      <w:r w:rsidRPr="008E0B82">
        <w:t>Основание, в силу которого эмитент не обязан составлять консолидированную финансовую отчетность:</w:t>
      </w:r>
      <w:r>
        <w:t xml:space="preserve"> </w:t>
      </w:r>
      <w:r w:rsidRPr="00EA60B0">
        <w:rPr>
          <w:rStyle w:val="Subst"/>
          <w:b w:val="0"/>
          <w:bCs/>
          <w:i w:val="0"/>
          <w:iCs/>
        </w:rPr>
        <w:t>Общество не входит в круг субъектов, на которых, в соответствии с п. 1 ст. 2 Федерального закона №</w:t>
      </w:r>
      <w:r w:rsidRPr="00B21860">
        <w:rPr>
          <w:rStyle w:val="Subst"/>
          <w:b w:val="0"/>
          <w:bCs/>
          <w:i w:val="0"/>
          <w:iCs/>
        </w:rPr>
        <w:t xml:space="preserve"> </w:t>
      </w:r>
      <w:r w:rsidRPr="00EA60B0">
        <w:rPr>
          <w:rStyle w:val="Subst"/>
          <w:b w:val="0"/>
          <w:bCs/>
          <w:i w:val="0"/>
          <w:iCs/>
        </w:rPr>
        <w:t>208-ФЗ от 27.07.2010</w:t>
      </w:r>
      <w:r w:rsidRPr="00B21860">
        <w:rPr>
          <w:rStyle w:val="Subst"/>
          <w:b w:val="0"/>
          <w:bCs/>
          <w:i w:val="0"/>
          <w:iCs/>
        </w:rPr>
        <w:t xml:space="preserve"> </w:t>
      </w:r>
      <w:r>
        <w:rPr>
          <w:rStyle w:val="Subst"/>
          <w:b w:val="0"/>
          <w:bCs/>
          <w:i w:val="0"/>
          <w:iCs/>
        </w:rPr>
        <w:t>«</w:t>
      </w:r>
      <w:r w:rsidRPr="00B21860">
        <w:rPr>
          <w:rStyle w:val="Subst"/>
          <w:b w:val="0"/>
          <w:bCs/>
          <w:i w:val="0"/>
          <w:iCs/>
        </w:rPr>
        <w:t>О консолидированной финансовой</w:t>
      </w:r>
      <w:r>
        <w:rPr>
          <w:rStyle w:val="Subst"/>
          <w:b w:val="0"/>
          <w:bCs/>
          <w:i w:val="0"/>
          <w:iCs/>
        </w:rPr>
        <w:t xml:space="preserve"> </w:t>
      </w:r>
      <w:r w:rsidRPr="00B21860">
        <w:rPr>
          <w:rStyle w:val="Subst"/>
          <w:b w:val="0"/>
          <w:bCs/>
          <w:i w:val="0"/>
          <w:iCs/>
        </w:rPr>
        <w:t>отчетности</w:t>
      </w:r>
      <w:r>
        <w:rPr>
          <w:rStyle w:val="Subst"/>
          <w:b w:val="0"/>
          <w:bCs/>
          <w:i w:val="0"/>
          <w:iCs/>
        </w:rPr>
        <w:t>»</w:t>
      </w:r>
      <w:r w:rsidRPr="00EA60B0">
        <w:rPr>
          <w:rStyle w:val="Subst"/>
          <w:b w:val="0"/>
          <w:bCs/>
          <w:i w:val="0"/>
          <w:iCs/>
        </w:rPr>
        <w:t>, распространяется обязанность составления консолидированной финансовой (финансовой) отчетности.</w:t>
      </w:r>
    </w:p>
    <w:p w:rsidR="006F1885" w:rsidRPr="0041055B" w:rsidRDefault="006F1885" w:rsidP="006F1885">
      <w:pPr>
        <w:jc w:val="both"/>
        <w:rPr>
          <w:rStyle w:val="Subst"/>
          <w:b w:val="0"/>
          <w:bCs/>
          <w:i w:val="0"/>
          <w:iCs/>
        </w:rPr>
      </w:pPr>
    </w:p>
    <w:p w:rsidR="006F1885" w:rsidRPr="0041055B" w:rsidRDefault="006F1885" w:rsidP="006F1885">
      <w:pPr>
        <w:jc w:val="both"/>
        <w:rPr>
          <w:rStyle w:val="Subst"/>
          <w:b w:val="0"/>
          <w:bCs/>
          <w:i w:val="0"/>
          <w:iCs/>
        </w:rPr>
      </w:pPr>
      <w:r w:rsidRPr="0041055B">
        <w:rPr>
          <w:rStyle w:val="Subst"/>
          <w:b w:val="0"/>
          <w:i w:val="0"/>
          <w:iCs/>
        </w:rPr>
        <w:t>В отношении ценных бумаг эмитента осуществлена регистрация плана приватизации, зарегистрированного в качестве проспекта эмиссии ценных бумаг, и акции эмитента не допущены к организованным торгам.</w:t>
      </w:r>
    </w:p>
    <w:p w:rsidR="006F1885" w:rsidRDefault="006F1885" w:rsidP="006F1885">
      <w:pPr>
        <w:jc w:val="both"/>
        <w:rPr>
          <w:rStyle w:val="Subst"/>
          <w:b w:val="0"/>
          <w:bCs/>
          <w:i w:val="0"/>
          <w:iCs/>
        </w:rPr>
      </w:pPr>
    </w:p>
    <w:p w:rsidR="006F1885" w:rsidRPr="0072569F" w:rsidRDefault="006F1885" w:rsidP="006F1885">
      <w:pPr>
        <w:pStyle w:val="2"/>
        <w:jc w:val="both"/>
        <w:rPr>
          <w:rFonts w:ascii="Times New Roman" w:hAnsi="Times New Roman"/>
          <w:i w:val="0"/>
          <w:sz w:val="22"/>
          <w:szCs w:val="22"/>
        </w:rPr>
      </w:pPr>
      <w:bookmarkStart w:id="40" w:name="_Toc129801858"/>
      <w:r w:rsidRPr="0072569F">
        <w:rPr>
          <w:rFonts w:ascii="Times New Roman" w:hAnsi="Times New Roman"/>
          <w:i w:val="0"/>
          <w:sz w:val="22"/>
          <w:szCs w:val="22"/>
        </w:rPr>
        <w:t>5.2. Бухгалтерская (финансовая) отчетность</w:t>
      </w:r>
      <w:bookmarkEnd w:id="40"/>
    </w:p>
    <w:p w:rsidR="006F1885" w:rsidRPr="00071D75" w:rsidRDefault="006F1885" w:rsidP="006F1885">
      <w:pPr>
        <w:jc w:val="both"/>
        <w:rPr>
          <w:color w:val="FF0000"/>
        </w:rPr>
      </w:pPr>
      <w:r w:rsidRPr="0041055B">
        <w:rPr>
          <w:rStyle w:val="Subst"/>
          <w:b w:val="0"/>
          <w:i w:val="0"/>
          <w:iCs/>
        </w:rPr>
        <w:t>Cсылка на страницу в сети Интернет, на которой опубликована указанная отчетность</w:t>
      </w:r>
      <w:r w:rsidRPr="008E0B82">
        <w:t>:</w:t>
      </w:r>
      <w:r>
        <w:t xml:space="preserve"> </w:t>
      </w:r>
      <w:r w:rsidRPr="0041055B">
        <w:rPr>
          <w:bCs/>
        </w:rPr>
        <w:t>www.disclosure.ru/issuer/6509000854/</w:t>
      </w:r>
    </w:p>
    <w:sectPr w:rsidR="006F1885" w:rsidRPr="00071D75" w:rsidSect="0016454A">
      <w:footerReference w:type="default" r:id="rId10"/>
      <w:pgSz w:w="11906" w:h="16838"/>
      <w:pgMar w:top="851" w:right="851" w:bottom="567" w:left="1701" w:header="397" w:footer="397"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D1" w:rsidRDefault="00C774D1">
      <w:r>
        <w:separator/>
      </w:r>
    </w:p>
  </w:endnote>
  <w:endnote w:type="continuationSeparator" w:id="0">
    <w:p w:rsidR="00C774D1" w:rsidRDefault="00C7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D1" w:rsidRDefault="007506B3">
    <w:pPr>
      <w:pStyle w:val="a5"/>
      <w:jc w:val="right"/>
    </w:pPr>
    <w:r>
      <w:fldChar w:fldCharType="begin"/>
    </w:r>
    <w:r>
      <w:instrText xml:space="preserve"> PAGE   \* MERGEFORMAT </w:instrText>
    </w:r>
    <w:r>
      <w:fldChar w:fldCharType="separate"/>
    </w:r>
    <w:r w:rsidR="009067A1">
      <w:rPr>
        <w:noProof/>
      </w:rPr>
      <w:t>1</w:t>
    </w:r>
    <w:r>
      <w:rPr>
        <w:noProof/>
      </w:rPr>
      <w:fldChar w:fldCharType="end"/>
    </w:r>
  </w:p>
  <w:p w:rsidR="00C774D1" w:rsidRDefault="00C774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D1" w:rsidRDefault="00C774D1">
      <w:r>
        <w:separator/>
      </w:r>
    </w:p>
  </w:footnote>
  <w:footnote w:type="continuationSeparator" w:id="0">
    <w:p w:rsidR="00C774D1" w:rsidRDefault="00C77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hanging="101"/>
      </w:pPr>
      <w:rPr>
        <w:rFonts w:ascii="Times New Roman" w:hAnsi="Times New Roman" w:cs="Times New Roman"/>
        <w:b w:val="0"/>
        <w:bCs w:val="0"/>
        <w:w w:val="59"/>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4"/>
      <w:numFmt w:val="decimal"/>
      <w:lvlText w:val="%1"/>
      <w:lvlJc w:val="left"/>
      <w:pPr>
        <w:ind w:hanging="149"/>
      </w:pPr>
      <w:rPr>
        <w:rFonts w:ascii="Times New Roman" w:hAnsi="Times New Roman" w:cs="Times New Roman"/>
        <w:b w:val="0"/>
        <w:bCs w:val="0"/>
        <w:w w:val="9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0"/>
      <w:numFmt w:val="decimal"/>
      <w:lvlText w:val="%1"/>
      <w:lvlJc w:val="left"/>
      <w:pPr>
        <w:ind w:hanging="173"/>
      </w:pPr>
      <w:rPr>
        <w:rFonts w:ascii="Arial" w:hAnsi="Arial" w:cs="Arial"/>
        <w:b w:val="0"/>
        <w:bCs w:val="0"/>
        <w:w w:val="8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2D5228"/>
    <w:multiLevelType w:val="multilevel"/>
    <w:tmpl w:val="2EB2B3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15E6577"/>
    <w:multiLevelType w:val="multilevel"/>
    <w:tmpl w:val="AF4468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2814C62"/>
    <w:multiLevelType w:val="multilevel"/>
    <w:tmpl w:val="224E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F45B6"/>
    <w:multiLevelType w:val="multilevel"/>
    <w:tmpl w:val="3D9E36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C373B03"/>
    <w:multiLevelType w:val="multilevel"/>
    <w:tmpl w:val="52805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2905B4E"/>
    <w:multiLevelType w:val="hybridMultilevel"/>
    <w:tmpl w:val="028612DC"/>
    <w:lvl w:ilvl="0" w:tplc="FBBC1F06">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2C53A5B"/>
    <w:multiLevelType w:val="hybridMultilevel"/>
    <w:tmpl w:val="131C8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0C589A"/>
    <w:multiLevelType w:val="multilevel"/>
    <w:tmpl w:val="8AD22B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7107894"/>
    <w:multiLevelType w:val="multilevel"/>
    <w:tmpl w:val="3DA65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FB64728"/>
    <w:multiLevelType w:val="multilevel"/>
    <w:tmpl w:val="92A8B1B6"/>
    <w:lvl w:ilvl="0">
      <w:start w:val="1"/>
      <w:numFmt w:val="decimal"/>
      <w:lvlText w:val="%1."/>
      <w:lvlJc w:val="left"/>
      <w:pPr>
        <w:ind w:left="560" w:hanging="360"/>
      </w:pPr>
      <w:rPr>
        <w:rFonts w:cs="Times New Roman"/>
        <w:b/>
        <w:i w:val="0"/>
      </w:rPr>
    </w:lvl>
    <w:lvl w:ilvl="1">
      <w:start w:val="1"/>
      <w:numFmt w:val="decimal"/>
      <w:isLgl/>
      <w:lvlText w:val="%1.%2."/>
      <w:lvlJc w:val="left"/>
      <w:pPr>
        <w:ind w:left="560" w:hanging="360"/>
      </w:pPr>
      <w:rPr>
        <w:rFonts w:cs="Times New Roman"/>
        <w:b/>
        <w:i w:val="0"/>
      </w:rPr>
    </w:lvl>
    <w:lvl w:ilvl="2">
      <w:start w:val="1"/>
      <w:numFmt w:val="decimal"/>
      <w:isLgl/>
      <w:lvlText w:val="%1.%2.%3."/>
      <w:lvlJc w:val="left"/>
      <w:pPr>
        <w:ind w:left="920" w:hanging="720"/>
      </w:pPr>
      <w:rPr>
        <w:rFonts w:cs="Times New Roman"/>
        <w:b/>
        <w:i/>
      </w:rPr>
    </w:lvl>
    <w:lvl w:ilvl="3">
      <w:start w:val="1"/>
      <w:numFmt w:val="decimal"/>
      <w:isLgl/>
      <w:lvlText w:val="%1.%2.%3.%4."/>
      <w:lvlJc w:val="left"/>
      <w:pPr>
        <w:ind w:left="920" w:hanging="720"/>
      </w:pPr>
      <w:rPr>
        <w:rFonts w:cs="Times New Roman"/>
        <w:b/>
        <w:i/>
      </w:rPr>
    </w:lvl>
    <w:lvl w:ilvl="4">
      <w:start w:val="1"/>
      <w:numFmt w:val="decimal"/>
      <w:isLgl/>
      <w:lvlText w:val="%1.%2.%3.%4.%5."/>
      <w:lvlJc w:val="left"/>
      <w:pPr>
        <w:ind w:left="1280" w:hanging="1080"/>
      </w:pPr>
      <w:rPr>
        <w:rFonts w:cs="Times New Roman"/>
        <w:b/>
        <w:i/>
      </w:rPr>
    </w:lvl>
    <w:lvl w:ilvl="5">
      <w:start w:val="1"/>
      <w:numFmt w:val="decimal"/>
      <w:isLgl/>
      <w:lvlText w:val="%1.%2.%3.%4.%5.%6."/>
      <w:lvlJc w:val="left"/>
      <w:pPr>
        <w:ind w:left="1280" w:hanging="1080"/>
      </w:pPr>
      <w:rPr>
        <w:rFonts w:cs="Times New Roman"/>
        <w:b/>
        <w:i/>
      </w:rPr>
    </w:lvl>
    <w:lvl w:ilvl="6">
      <w:start w:val="1"/>
      <w:numFmt w:val="decimal"/>
      <w:isLgl/>
      <w:lvlText w:val="%1.%2.%3.%4.%5.%6.%7."/>
      <w:lvlJc w:val="left"/>
      <w:pPr>
        <w:ind w:left="1280" w:hanging="1080"/>
      </w:pPr>
      <w:rPr>
        <w:rFonts w:cs="Times New Roman"/>
        <w:b/>
        <w:i/>
      </w:rPr>
    </w:lvl>
    <w:lvl w:ilvl="7">
      <w:start w:val="1"/>
      <w:numFmt w:val="decimal"/>
      <w:isLgl/>
      <w:lvlText w:val="%1.%2.%3.%4.%5.%6.%7.%8."/>
      <w:lvlJc w:val="left"/>
      <w:pPr>
        <w:ind w:left="1640" w:hanging="1440"/>
      </w:pPr>
      <w:rPr>
        <w:rFonts w:cs="Times New Roman"/>
        <w:b/>
        <w:i/>
      </w:rPr>
    </w:lvl>
    <w:lvl w:ilvl="8">
      <w:start w:val="1"/>
      <w:numFmt w:val="decimal"/>
      <w:isLgl/>
      <w:lvlText w:val="%1.%2.%3.%4.%5.%6.%7.%8.%9."/>
      <w:lvlJc w:val="left"/>
      <w:pPr>
        <w:ind w:left="1640" w:hanging="1440"/>
      </w:pPr>
      <w:rPr>
        <w:rFonts w:cs="Times New Roman"/>
        <w:b/>
        <w:i/>
      </w:rPr>
    </w:lvl>
  </w:abstractNum>
  <w:abstractNum w:abstractNumId="13" w15:restartNumberingAfterBreak="0">
    <w:nsid w:val="4FB756AE"/>
    <w:multiLevelType w:val="multilevel"/>
    <w:tmpl w:val="58EA91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3A906FF"/>
    <w:multiLevelType w:val="hybridMultilevel"/>
    <w:tmpl w:val="4B206404"/>
    <w:lvl w:ilvl="0" w:tplc="FBBC1F06">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F514145"/>
    <w:multiLevelType w:val="multilevel"/>
    <w:tmpl w:val="8EEC5E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 w:numId="4">
    <w:abstractNumId w:val="9"/>
  </w:num>
  <w:num w:numId="5">
    <w:abstractNumId w:val="14"/>
  </w:num>
  <w:num w:numId="6">
    <w:abstractNumId w:val="8"/>
  </w:num>
  <w:num w:numId="7">
    <w:abstractNumId w:val="15"/>
  </w:num>
  <w:num w:numId="8">
    <w:abstractNumId w:val="11"/>
  </w:num>
  <w:num w:numId="9">
    <w:abstractNumId w:val="7"/>
  </w:num>
  <w:num w:numId="10">
    <w:abstractNumId w:val="6"/>
  </w:num>
  <w:num w:numId="11">
    <w:abstractNumId w:val="3"/>
  </w:num>
  <w:num w:numId="12">
    <w:abstractNumId w:val="10"/>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63"/>
    <w:rsid w:val="0000640B"/>
    <w:rsid w:val="00020BF1"/>
    <w:rsid w:val="000332D9"/>
    <w:rsid w:val="00033992"/>
    <w:rsid w:val="00035F73"/>
    <w:rsid w:val="00046339"/>
    <w:rsid w:val="00051938"/>
    <w:rsid w:val="00056961"/>
    <w:rsid w:val="00071D75"/>
    <w:rsid w:val="0007315B"/>
    <w:rsid w:val="00073DCF"/>
    <w:rsid w:val="00081EE3"/>
    <w:rsid w:val="00085020"/>
    <w:rsid w:val="000852F0"/>
    <w:rsid w:val="000A5F69"/>
    <w:rsid w:val="000B0463"/>
    <w:rsid w:val="000B722E"/>
    <w:rsid w:val="000C2426"/>
    <w:rsid w:val="000C6C97"/>
    <w:rsid w:val="00121389"/>
    <w:rsid w:val="00123A86"/>
    <w:rsid w:val="001277F3"/>
    <w:rsid w:val="00132DB1"/>
    <w:rsid w:val="00151244"/>
    <w:rsid w:val="00157527"/>
    <w:rsid w:val="00160913"/>
    <w:rsid w:val="0016454A"/>
    <w:rsid w:val="00165A5C"/>
    <w:rsid w:val="00195014"/>
    <w:rsid w:val="001A58CB"/>
    <w:rsid w:val="001B7BE2"/>
    <w:rsid w:val="001C40A5"/>
    <w:rsid w:val="001D21CF"/>
    <w:rsid w:val="001D2956"/>
    <w:rsid w:val="00205CEB"/>
    <w:rsid w:val="002178EB"/>
    <w:rsid w:val="00240C92"/>
    <w:rsid w:val="002429E1"/>
    <w:rsid w:val="0024361D"/>
    <w:rsid w:val="002453AE"/>
    <w:rsid w:val="00245E32"/>
    <w:rsid w:val="002477B6"/>
    <w:rsid w:val="00257FCD"/>
    <w:rsid w:val="00260810"/>
    <w:rsid w:val="00272F7E"/>
    <w:rsid w:val="002764AF"/>
    <w:rsid w:val="002A53DE"/>
    <w:rsid w:val="002A734E"/>
    <w:rsid w:val="002B40C8"/>
    <w:rsid w:val="002C4342"/>
    <w:rsid w:val="002D5709"/>
    <w:rsid w:val="002D5CAC"/>
    <w:rsid w:val="002D6DA2"/>
    <w:rsid w:val="002E04F8"/>
    <w:rsid w:val="002F2236"/>
    <w:rsid w:val="002F266F"/>
    <w:rsid w:val="002F5E91"/>
    <w:rsid w:val="00314A66"/>
    <w:rsid w:val="0032095A"/>
    <w:rsid w:val="00331BD3"/>
    <w:rsid w:val="00351601"/>
    <w:rsid w:val="00352215"/>
    <w:rsid w:val="0036158B"/>
    <w:rsid w:val="0036195F"/>
    <w:rsid w:val="00365E6F"/>
    <w:rsid w:val="00365FD0"/>
    <w:rsid w:val="003958C6"/>
    <w:rsid w:val="003A6B92"/>
    <w:rsid w:val="003B35B7"/>
    <w:rsid w:val="003B4D08"/>
    <w:rsid w:val="003B526C"/>
    <w:rsid w:val="003C15C3"/>
    <w:rsid w:val="003D336D"/>
    <w:rsid w:val="003F74E9"/>
    <w:rsid w:val="00400902"/>
    <w:rsid w:val="00400908"/>
    <w:rsid w:val="00416131"/>
    <w:rsid w:val="00427C5E"/>
    <w:rsid w:val="00433229"/>
    <w:rsid w:val="00462DF3"/>
    <w:rsid w:val="00473C5C"/>
    <w:rsid w:val="0049647E"/>
    <w:rsid w:val="004A5FA9"/>
    <w:rsid w:val="004B0669"/>
    <w:rsid w:val="004C0760"/>
    <w:rsid w:val="004D41E2"/>
    <w:rsid w:val="004D75C1"/>
    <w:rsid w:val="004E2BDE"/>
    <w:rsid w:val="004F3FEE"/>
    <w:rsid w:val="00501C44"/>
    <w:rsid w:val="00502E12"/>
    <w:rsid w:val="00504B2D"/>
    <w:rsid w:val="00511394"/>
    <w:rsid w:val="00511424"/>
    <w:rsid w:val="00552451"/>
    <w:rsid w:val="00560F07"/>
    <w:rsid w:val="0056515B"/>
    <w:rsid w:val="00574040"/>
    <w:rsid w:val="005747BC"/>
    <w:rsid w:val="00582AE9"/>
    <w:rsid w:val="005B57E0"/>
    <w:rsid w:val="005C6AF5"/>
    <w:rsid w:val="005E2D30"/>
    <w:rsid w:val="005E383C"/>
    <w:rsid w:val="005E5A64"/>
    <w:rsid w:val="006064D0"/>
    <w:rsid w:val="0062213C"/>
    <w:rsid w:val="006321B6"/>
    <w:rsid w:val="00645513"/>
    <w:rsid w:val="00655956"/>
    <w:rsid w:val="00661D64"/>
    <w:rsid w:val="006620BD"/>
    <w:rsid w:val="006644D2"/>
    <w:rsid w:val="006705A8"/>
    <w:rsid w:val="00670BDA"/>
    <w:rsid w:val="006874BF"/>
    <w:rsid w:val="006A3193"/>
    <w:rsid w:val="006A3935"/>
    <w:rsid w:val="006B01F3"/>
    <w:rsid w:val="006B3BE7"/>
    <w:rsid w:val="006C23B8"/>
    <w:rsid w:val="006D40FD"/>
    <w:rsid w:val="006D682B"/>
    <w:rsid w:val="006E22DF"/>
    <w:rsid w:val="006F1885"/>
    <w:rsid w:val="006F54B4"/>
    <w:rsid w:val="006F74AA"/>
    <w:rsid w:val="006F7CD6"/>
    <w:rsid w:val="007071D7"/>
    <w:rsid w:val="00707A6B"/>
    <w:rsid w:val="007110BF"/>
    <w:rsid w:val="00713105"/>
    <w:rsid w:val="0072569F"/>
    <w:rsid w:val="00740268"/>
    <w:rsid w:val="0074533A"/>
    <w:rsid w:val="007506B3"/>
    <w:rsid w:val="00754D1F"/>
    <w:rsid w:val="00784323"/>
    <w:rsid w:val="007C04A9"/>
    <w:rsid w:val="007C4C4C"/>
    <w:rsid w:val="007C5089"/>
    <w:rsid w:val="007E06BD"/>
    <w:rsid w:val="007E1D63"/>
    <w:rsid w:val="00801FDA"/>
    <w:rsid w:val="00811807"/>
    <w:rsid w:val="00830073"/>
    <w:rsid w:val="00841624"/>
    <w:rsid w:val="008429E5"/>
    <w:rsid w:val="008431ED"/>
    <w:rsid w:val="00856B1A"/>
    <w:rsid w:val="00860865"/>
    <w:rsid w:val="008821AA"/>
    <w:rsid w:val="008A32D0"/>
    <w:rsid w:val="008B47CE"/>
    <w:rsid w:val="008B5658"/>
    <w:rsid w:val="008D19A7"/>
    <w:rsid w:val="008D5BCA"/>
    <w:rsid w:val="008E0B82"/>
    <w:rsid w:val="008E3716"/>
    <w:rsid w:val="008F7F77"/>
    <w:rsid w:val="009067A1"/>
    <w:rsid w:val="00917371"/>
    <w:rsid w:val="00921DF2"/>
    <w:rsid w:val="00922F84"/>
    <w:rsid w:val="00936A98"/>
    <w:rsid w:val="009438BC"/>
    <w:rsid w:val="0095626E"/>
    <w:rsid w:val="009823F8"/>
    <w:rsid w:val="009840E6"/>
    <w:rsid w:val="009A0FCD"/>
    <w:rsid w:val="009A4257"/>
    <w:rsid w:val="009B233F"/>
    <w:rsid w:val="009B48DA"/>
    <w:rsid w:val="009C11DD"/>
    <w:rsid w:val="009E56A9"/>
    <w:rsid w:val="009F05AC"/>
    <w:rsid w:val="00A066B2"/>
    <w:rsid w:val="00A137CD"/>
    <w:rsid w:val="00A333DA"/>
    <w:rsid w:val="00A40F51"/>
    <w:rsid w:val="00A41774"/>
    <w:rsid w:val="00A458B6"/>
    <w:rsid w:val="00A515D0"/>
    <w:rsid w:val="00A56B4E"/>
    <w:rsid w:val="00A64074"/>
    <w:rsid w:val="00A66478"/>
    <w:rsid w:val="00A9049F"/>
    <w:rsid w:val="00AA51D9"/>
    <w:rsid w:val="00AB69F8"/>
    <w:rsid w:val="00AC113C"/>
    <w:rsid w:val="00AE4A36"/>
    <w:rsid w:val="00AE65AB"/>
    <w:rsid w:val="00AF2503"/>
    <w:rsid w:val="00AF6371"/>
    <w:rsid w:val="00B15897"/>
    <w:rsid w:val="00B175E7"/>
    <w:rsid w:val="00B233B8"/>
    <w:rsid w:val="00B24E36"/>
    <w:rsid w:val="00B33507"/>
    <w:rsid w:val="00B378F3"/>
    <w:rsid w:val="00B475F7"/>
    <w:rsid w:val="00B6102C"/>
    <w:rsid w:val="00B6193C"/>
    <w:rsid w:val="00B811EC"/>
    <w:rsid w:val="00B81CB8"/>
    <w:rsid w:val="00BA0154"/>
    <w:rsid w:val="00BB4E0E"/>
    <w:rsid w:val="00BC60E2"/>
    <w:rsid w:val="00BD5ECD"/>
    <w:rsid w:val="00BE0358"/>
    <w:rsid w:val="00BE199D"/>
    <w:rsid w:val="00BF105B"/>
    <w:rsid w:val="00BF77C0"/>
    <w:rsid w:val="00C06FB5"/>
    <w:rsid w:val="00C23BCA"/>
    <w:rsid w:val="00C37625"/>
    <w:rsid w:val="00C405E8"/>
    <w:rsid w:val="00C62A44"/>
    <w:rsid w:val="00C66072"/>
    <w:rsid w:val="00C774D1"/>
    <w:rsid w:val="00C9734D"/>
    <w:rsid w:val="00CA4942"/>
    <w:rsid w:val="00CA5784"/>
    <w:rsid w:val="00CD0885"/>
    <w:rsid w:val="00CD3A95"/>
    <w:rsid w:val="00CD3E11"/>
    <w:rsid w:val="00CD4864"/>
    <w:rsid w:val="00CE473E"/>
    <w:rsid w:val="00CE634E"/>
    <w:rsid w:val="00CF263B"/>
    <w:rsid w:val="00D02459"/>
    <w:rsid w:val="00D11494"/>
    <w:rsid w:val="00D52ED1"/>
    <w:rsid w:val="00D633C1"/>
    <w:rsid w:val="00D92DC8"/>
    <w:rsid w:val="00D9489D"/>
    <w:rsid w:val="00DA27D5"/>
    <w:rsid w:val="00DA5186"/>
    <w:rsid w:val="00DE3F9C"/>
    <w:rsid w:val="00DE6300"/>
    <w:rsid w:val="00DE64FF"/>
    <w:rsid w:val="00DE6979"/>
    <w:rsid w:val="00DF2147"/>
    <w:rsid w:val="00DF48BC"/>
    <w:rsid w:val="00E121CA"/>
    <w:rsid w:val="00E20F3F"/>
    <w:rsid w:val="00E258FB"/>
    <w:rsid w:val="00E25B9C"/>
    <w:rsid w:val="00E26229"/>
    <w:rsid w:val="00E27BAF"/>
    <w:rsid w:val="00E42EE3"/>
    <w:rsid w:val="00E43BA6"/>
    <w:rsid w:val="00E4526D"/>
    <w:rsid w:val="00E55665"/>
    <w:rsid w:val="00E77D9A"/>
    <w:rsid w:val="00E80773"/>
    <w:rsid w:val="00E83AA3"/>
    <w:rsid w:val="00E90A9F"/>
    <w:rsid w:val="00EA60B0"/>
    <w:rsid w:val="00EB3627"/>
    <w:rsid w:val="00EC1AFD"/>
    <w:rsid w:val="00EE4429"/>
    <w:rsid w:val="00F0255F"/>
    <w:rsid w:val="00F1646D"/>
    <w:rsid w:val="00F16EC9"/>
    <w:rsid w:val="00F2712E"/>
    <w:rsid w:val="00F32020"/>
    <w:rsid w:val="00F35D26"/>
    <w:rsid w:val="00F44B87"/>
    <w:rsid w:val="00F511F4"/>
    <w:rsid w:val="00F52A4C"/>
    <w:rsid w:val="00F52F82"/>
    <w:rsid w:val="00F61E29"/>
    <w:rsid w:val="00F6387A"/>
    <w:rsid w:val="00F74A7E"/>
    <w:rsid w:val="00F77369"/>
    <w:rsid w:val="00F953E6"/>
    <w:rsid w:val="00F978DE"/>
    <w:rsid w:val="00FD2B45"/>
    <w:rsid w:val="00FE274C"/>
    <w:rsid w:val="00FF1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92196"/>
  <w15:docId w15:val="{D99C66CA-9216-42E0-A5D3-BC204774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992"/>
    <w:pPr>
      <w:autoSpaceDE w:val="0"/>
      <w:autoSpaceDN w:val="0"/>
    </w:pPr>
  </w:style>
  <w:style w:type="paragraph" w:styleId="1">
    <w:name w:val="heading 1"/>
    <w:basedOn w:val="a"/>
    <w:next w:val="a"/>
    <w:link w:val="10"/>
    <w:uiPriority w:val="99"/>
    <w:qFormat/>
    <w:rsid w:val="00020BF1"/>
    <w:pPr>
      <w:widowControl w:val="0"/>
      <w:adjustRightInd w:val="0"/>
      <w:spacing w:before="360" w:after="120"/>
      <w:jc w:val="center"/>
      <w:outlineLvl w:val="0"/>
    </w:pPr>
    <w:rPr>
      <w:b/>
      <w:bCs/>
      <w:sz w:val="28"/>
      <w:szCs w:val="28"/>
    </w:rPr>
  </w:style>
  <w:style w:type="paragraph" w:styleId="2">
    <w:name w:val="heading 2"/>
    <w:basedOn w:val="a"/>
    <w:next w:val="a"/>
    <w:link w:val="20"/>
    <w:uiPriority w:val="9"/>
    <w:unhideWhenUsed/>
    <w:qFormat/>
    <w:rsid w:val="00C405E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20BF1"/>
    <w:rPr>
      <w:rFonts w:eastAsia="Times New Roman" w:cs="Times New Roman"/>
      <w:b/>
      <w:bCs/>
      <w:sz w:val="28"/>
      <w:szCs w:val="28"/>
    </w:rPr>
  </w:style>
  <w:style w:type="character" w:customStyle="1" w:styleId="20">
    <w:name w:val="Заголовок 2 Знак"/>
    <w:basedOn w:val="a0"/>
    <w:link w:val="2"/>
    <w:uiPriority w:val="9"/>
    <w:locked/>
    <w:rsid w:val="00C405E8"/>
    <w:rPr>
      <w:rFonts w:ascii="Cambria" w:hAnsi="Cambria" w:cs="Times New Roman"/>
      <w:b/>
      <w:bCs/>
      <w:i/>
      <w:iCs/>
      <w:sz w:val="28"/>
      <w:szCs w:val="28"/>
    </w:rPr>
  </w:style>
  <w:style w:type="paragraph" w:customStyle="1" w:styleId="ConsNonformat">
    <w:name w:val="ConsNonformat"/>
    <w:uiPriority w:val="99"/>
    <w:rsid w:val="00033992"/>
    <w:pPr>
      <w:widowControl w:val="0"/>
      <w:autoSpaceDE w:val="0"/>
      <w:autoSpaceDN w:val="0"/>
      <w:jc w:val="both"/>
    </w:pPr>
    <w:rPr>
      <w:rFonts w:ascii="Courier New" w:hAnsi="Courier New" w:cs="Courier New"/>
    </w:rPr>
  </w:style>
  <w:style w:type="paragraph" w:customStyle="1" w:styleId="ConsNormal">
    <w:name w:val="ConsNormal"/>
    <w:uiPriority w:val="99"/>
    <w:rsid w:val="00033992"/>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rsid w:val="00033992"/>
    <w:pPr>
      <w:tabs>
        <w:tab w:val="center" w:pos="4153"/>
        <w:tab w:val="right" w:pos="8306"/>
      </w:tabs>
    </w:pPr>
  </w:style>
  <w:style w:type="character" w:customStyle="1" w:styleId="a4">
    <w:name w:val="Верхний колонтитул Знак"/>
    <w:basedOn w:val="a0"/>
    <w:link w:val="a3"/>
    <w:uiPriority w:val="99"/>
    <w:semiHidden/>
    <w:locked/>
    <w:rsid w:val="00033992"/>
    <w:rPr>
      <w:rFonts w:cs="Times New Roman"/>
      <w:sz w:val="20"/>
      <w:szCs w:val="20"/>
    </w:rPr>
  </w:style>
  <w:style w:type="paragraph" w:styleId="a5">
    <w:name w:val="footer"/>
    <w:basedOn w:val="a"/>
    <w:link w:val="a6"/>
    <w:uiPriority w:val="99"/>
    <w:rsid w:val="00033992"/>
    <w:pPr>
      <w:tabs>
        <w:tab w:val="center" w:pos="4153"/>
        <w:tab w:val="right" w:pos="8306"/>
      </w:tabs>
    </w:pPr>
  </w:style>
  <w:style w:type="character" w:customStyle="1" w:styleId="a6">
    <w:name w:val="Нижний колонтитул Знак"/>
    <w:basedOn w:val="a0"/>
    <w:link w:val="a5"/>
    <w:uiPriority w:val="99"/>
    <w:locked/>
    <w:rsid w:val="00033992"/>
    <w:rPr>
      <w:rFonts w:cs="Times New Roman"/>
      <w:sz w:val="20"/>
      <w:szCs w:val="20"/>
    </w:rPr>
  </w:style>
  <w:style w:type="paragraph" w:styleId="a7">
    <w:name w:val="footnote text"/>
    <w:basedOn w:val="a"/>
    <w:link w:val="a8"/>
    <w:uiPriority w:val="99"/>
    <w:rsid w:val="00033992"/>
  </w:style>
  <w:style w:type="character" w:customStyle="1" w:styleId="a8">
    <w:name w:val="Текст сноски Знак"/>
    <w:basedOn w:val="a0"/>
    <w:link w:val="a7"/>
    <w:uiPriority w:val="99"/>
    <w:semiHidden/>
    <w:locked/>
    <w:rsid w:val="00033992"/>
    <w:rPr>
      <w:rFonts w:cs="Times New Roman"/>
      <w:sz w:val="20"/>
      <w:szCs w:val="20"/>
    </w:rPr>
  </w:style>
  <w:style w:type="character" w:styleId="a9">
    <w:name w:val="footnote reference"/>
    <w:basedOn w:val="a0"/>
    <w:uiPriority w:val="99"/>
    <w:rsid w:val="00033992"/>
    <w:rPr>
      <w:rFonts w:cs="Times New Roman"/>
      <w:vertAlign w:val="superscript"/>
    </w:rPr>
  </w:style>
  <w:style w:type="paragraph" w:styleId="aa">
    <w:name w:val="endnote text"/>
    <w:basedOn w:val="a"/>
    <w:link w:val="ab"/>
    <w:uiPriority w:val="99"/>
    <w:semiHidden/>
    <w:rsid w:val="00922F84"/>
  </w:style>
  <w:style w:type="character" w:customStyle="1" w:styleId="ab">
    <w:name w:val="Текст концевой сноски Знак"/>
    <w:basedOn w:val="a0"/>
    <w:link w:val="aa"/>
    <w:uiPriority w:val="99"/>
    <w:semiHidden/>
    <w:locked/>
    <w:rsid w:val="00033992"/>
    <w:rPr>
      <w:rFonts w:cs="Times New Roman"/>
      <w:sz w:val="20"/>
      <w:szCs w:val="20"/>
    </w:rPr>
  </w:style>
  <w:style w:type="character" w:styleId="ac">
    <w:name w:val="endnote reference"/>
    <w:basedOn w:val="a0"/>
    <w:uiPriority w:val="99"/>
    <w:semiHidden/>
    <w:rsid w:val="00922F84"/>
    <w:rPr>
      <w:rFonts w:cs="Times New Roman"/>
      <w:vertAlign w:val="superscript"/>
    </w:rPr>
  </w:style>
  <w:style w:type="paragraph" w:styleId="ad">
    <w:name w:val="Body Text"/>
    <w:basedOn w:val="a"/>
    <w:link w:val="ae"/>
    <w:uiPriority w:val="99"/>
    <w:rsid w:val="002F2236"/>
    <w:pPr>
      <w:widowControl w:val="0"/>
      <w:adjustRightInd w:val="0"/>
      <w:ind w:left="117" w:firstLine="4"/>
    </w:pPr>
    <w:rPr>
      <w:sz w:val="18"/>
      <w:szCs w:val="18"/>
    </w:rPr>
  </w:style>
  <w:style w:type="character" w:customStyle="1" w:styleId="ae">
    <w:name w:val="Основной текст Знак"/>
    <w:basedOn w:val="a0"/>
    <w:link w:val="ad"/>
    <w:uiPriority w:val="99"/>
    <w:semiHidden/>
    <w:locked/>
    <w:rsid w:val="00033992"/>
    <w:rPr>
      <w:rFonts w:cs="Times New Roman"/>
      <w:sz w:val="20"/>
      <w:szCs w:val="20"/>
    </w:rPr>
  </w:style>
  <w:style w:type="paragraph" w:customStyle="1" w:styleId="21">
    <w:name w:val="Заголовок 21"/>
    <w:basedOn w:val="a"/>
    <w:uiPriority w:val="99"/>
    <w:rsid w:val="001D21CF"/>
    <w:pPr>
      <w:widowControl w:val="0"/>
      <w:adjustRightInd w:val="0"/>
      <w:ind w:left="126"/>
      <w:outlineLvl w:val="1"/>
    </w:pPr>
    <w:rPr>
      <w:sz w:val="23"/>
      <w:szCs w:val="23"/>
    </w:rPr>
  </w:style>
  <w:style w:type="paragraph" w:customStyle="1" w:styleId="SubHeading">
    <w:name w:val="Sub Heading"/>
    <w:uiPriority w:val="99"/>
    <w:rsid w:val="00020BF1"/>
    <w:pPr>
      <w:widowControl w:val="0"/>
      <w:autoSpaceDE w:val="0"/>
      <w:autoSpaceDN w:val="0"/>
      <w:adjustRightInd w:val="0"/>
      <w:spacing w:before="240" w:after="40"/>
    </w:pPr>
  </w:style>
  <w:style w:type="paragraph" w:customStyle="1" w:styleId="ThinDelim">
    <w:name w:val="Thin Delim"/>
    <w:uiPriority w:val="99"/>
    <w:rsid w:val="00020BF1"/>
    <w:pPr>
      <w:widowControl w:val="0"/>
      <w:autoSpaceDE w:val="0"/>
      <w:autoSpaceDN w:val="0"/>
      <w:adjustRightInd w:val="0"/>
    </w:pPr>
    <w:rPr>
      <w:sz w:val="16"/>
      <w:szCs w:val="16"/>
    </w:rPr>
  </w:style>
  <w:style w:type="character" w:customStyle="1" w:styleId="Subst">
    <w:name w:val="Subst"/>
    <w:uiPriority w:val="99"/>
    <w:rsid w:val="00020BF1"/>
    <w:rPr>
      <w:b/>
      <w:i/>
    </w:rPr>
  </w:style>
  <w:style w:type="character" w:styleId="af">
    <w:name w:val="Hyperlink"/>
    <w:basedOn w:val="a0"/>
    <w:uiPriority w:val="99"/>
    <w:unhideWhenUsed/>
    <w:rsid w:val="00132DB1"/>
    <w:rPr>
      <w:rFonts w:cs="Times New Roman"/>
      <w:color w:val="0000FF"/>
      <w:u w:val="single"/>
    </w:rPr>
  </w:style>
  <w:style w:type="paragraph" w:styleId="af0">
    <w:name w:val="Normal (Web)"/>
    <w:basedOn w:val="a"/>
    <w:uiPriority w:val="99"/>
    <w:semiHidden/>
    <w:unhideWhenUsed/>
    <w:rsid w:val="00B6193C"/>
    <w:pPr>
      <w:autoSpaceDE/>
      <w:autoSpaceDN/>
      <w:spacing w:before="100" w:beforeAutospacing="1" w:after="100" w:afterAutospacing="1"/>
    </w:pPr>
    <w:rPr>
      <w:sz w:val="24"/>
      <w:szCs w:val="24"/>
    </w:rPr>
  </w:style>
  <w:style w:type="paragraph" w:styleId="af1">
    <w:name w:val="Title"/>
    <w:basedOn w:val="a"/>
    <w:link w:val="af2"/>
    <w:uiPriority w:val="10"/>
    <w:qFormat/>
    <w:rsid w:val="004E2BDE"/>
    <w:pPr>
      <w:overflowPunct w:val="0"/>
      <w:adjustRightInd w:val="0"/>
      <w:jc w:val="center"/>
      <w:textAlignment w:val="baseline"/>
    </w:pPr>
    <w:rPr>
      <w:b/>
      <w:sz w:val="32"/>
    </w:rPr>
  </w:style>
  <w:style w:type="character" w:customStyle="1" w:styleId="af2">
    <w:name w:val="Заголовок Знак"/>
    <w:basedOn w:val="a0"/>
    <w:link w:val="af1"/>
    <w:uiPriority w:val="10"/>
    <w:locked/>
    <w:rsid w:val="004E2BDE"/>
    <w:rPr>
      <w:rFonts w:cs="Times New Roman"/>
      <w:b/>
      <w:sz w:val="20"/>
      <w:szCs w:val="20"/>
    </w:rPr>
  </w:style>
  <w:style w:type="paragraph" w:customStyle="1" w:styleId="ConsPlusNormal">
    <w:name w:val="ConsPlusNormal"/>
    <w:rsid w:val="001277F3"/>
    <w:pPr>
      <w:widowControl w:val="0"/>
      <w:autoSpaceDE w:val="0"/>
      <w:autoSpaceDN w:val="0"/>
    </w:pPr>
    <w:rPr>
      <w:rFonts w:ascii="Calibri" w:hAnsi="Calibri" w:cs="Calibri"/>
      <w:sz w:val="22"/>
    </w:rPr>
  </w:style>
  <w:style w:type="paragraph" w:styleId="af3">
    <w:name w:val="Balloon Text"/>
    <w:basedOn w:val="a"/>
    <w:link w:val="af4"/>
    <w:uiPriority w:val="99"/>
    <w:semiHidden/>
    <w:unhideWhenUsed/>
    <w:rsid w:val="005B57E0"/>
    <w:rPr>
      <w:rFonts w:ascii="Tahoma" w:hAnsi="Tahoma" w:cs="Tahoma"/>
      <w:sz w:val="16"/>
      <w:szCs w:val="16"/>
    </w:rPr>
  </w:style>
  <w:style w:type="character" w:customStyle="1" w:styleId="af4">
    <w:name w:val="Текст выноски Знак"/>
    <w:basedOn w:val="a0"/>
    <w:link w:val="af3"/>
    <w:uiPriority w:val="99"/>
    <w:semiHidden/>
    <w:locked/>
    <w:rsid w:val="005B57E0"/>
    <w:rPr>
      <w:rFonts w:ascii="Tahoma" w:hAnsi="Tahoma" w:cs="Tahoma"/>
      <w:sz w:val="16"/>
      <w:szCs w:val="16"/>
    </w:rPr>
  </w:style>
  <w:style w:type="paragraph" w:styleId="af5">
    <w:name w:val="TOC Heading"/>
    <w:basedOn w:val="1"/>
    <w:next w:val="a"/>
    <w:uiPriority w:val="39"/>
    <w:semiHidden/>
    <w:unhideWhenUsed/>
    <w:qFormat/>
    <w:rsid w:val="004D41E2"/>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lang w:eastAsia="en-US"/>
    </w:rPr>
  </w:style>
  <w:style w:type="paragraph" w:styleId="22">
    <w:name w:val="toc 2"/>
    <w:basedOn w:val="a"/>
    <w:next w:val="a"/>
    <w:autoRedefine/>
    <w:uiPriority w:val="39"/>
    <w:unhideWhenUsed/>
    <w:qFormat/>
    <w:rsid w:val="004D41E2"/>
    <w:pPr>
      <w:autoSpaceDE/>
      <w:autoSpaceDN/>
      <w:spacing w:after="100" w:line="276" w:lineRule="auto"/>
      <w:ind w:left="220"/>
    </w:pPr>
    <w:rPr>
      <w:rFonts w:asciiTheme="minorHAnsi" w:eastAsiaTheme="minorEastAsia" w:hAnsiTheme="minorHAnsi" w:cstheme="minorBidi"/>
      <w:sz w:val="22"/>
      <w:szCs w:val="22"/>
      <w:lang w:eastAsia="en-US"/>
    </w:rPr>
  </w:style>
  <w:style w:type="paragraph" w:styleId="11">
    <w:name w:val="toc 1"/>
    <w:basedOn w:val="a"/>
    <w:next w:val="a"/>
    <w:autoRedefine/>
    <w:uiPriority w:val="39"/>
    <w:semiHidden/>
    <w:unhideWhenUsed/>
    <w:qFormat/>
    <w:rsid w:val="004D41E2"/>
    <w:pPr>
      <w:autoSpaceDE/>
      <w:autoSpaceDN/>
      <w:spacing w:after="100" w:line="276" w:lineRule="auto"/>
    </w:pPr>
    <w:rPr>
      <w:rFonts w:asciiTheme="minorHAnsi" w:eastAsiaTheme="minorEastAsia" w:hAnsiTheme="minorHAnsi" w:cstheme="minorBidi"/>
      <w:sz w:val="22"/>
      <w:szCs w:val="22"/>
      <w:lang w:eastAsia="en-US"/>
    </w:rPr>
  </w:style>
  <w:style w:type="paragraph" w:styleId="3">
    <w:name w:val="toc 3"/>
    <w:basedOn w:val="a"/>
    <w:next w:val="a"/>
    <w:autoRedefine/>
    <w:uiPriority w:val="39"/>
    <w:semiHidden/>
    <w:unhideWhenUsed/>
    <w:qFormat/>
    <w:rsid w:val="004D41E2"/>
    <w:pPr>
      <w:autoSpaceDE/>
      <w:autoSpaceDN/>
      <w:spacing w:after="100" w:line="276" w:lineRule="auto"/>
      <w:ind w:left="44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35FA14C1EDBCA833581A5CBC1CBD3173C21E93981310FF3A8E4E6D3B628777A1932BEB33425455FB911CD77E02959CA9F7A10EC9E373067e3W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43751-DE55-43EC-8271-A6F7202F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7327</Words>
  <Characters>41764</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Сарайкин Сергей Викторович</cp:lastModifiedBy>
  <cp:revision>2</cp:revision>
  <cp:lastPrinted>2022-08-26T05:09:00Z</cp:lastPrinted>
  <dcterms:created xsi:type="dcterms:W3CDTF">2023-03-15T08:44:00Z</dcterms:created>
  <dcterms:modified xsi:type="dcterms:W3CDTF">2023-03-15T08:44:00Z</dcterms:modified>
</cp:coreProperties>
</file>